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2CD4" w14:textId="16667027" w:rsidR="00964A4D" w:rsidRDefault="00D3745D" w:rsidP="00D3745D">
      <w:pPr>
        <w:jc w:val="center"/>
        <w:rPr>
          <w:rFonts w:ascii="Arial" w:hAnsi="Arial" w:cs="Arial"/>
          <w:b/>
          <w:bCs/>
        </w:rPr>
      </w:pPr>
      <w:r w:rsidRPr="00D3745D">
        <w:rPr>
          <w:rFonts w:ascii="Arial" w:hAnsi="Arial" w:cs="Arial"/>
          <w:b/>
          <w:bCs/>
        </w:rPr>
        <w:t>Call for Projects Questions and Responses</w:t>
      </w:r>
    </w:p>
    <w:p w14:paraId="3538197E" w14:textId="0FF0A62F" w:rsidR="00D3745D" w:rsidRDefault="00D3745D" w:rsidP="00D3745D">
      <w:pPr>
        <w:pStyle w:val="ListParagraph"/>
        <w:rPr>
          <w:rFonts w:ascii="Arial" w:hAnsi="Arial" w:cs="Arial"/>
          <w:b/>
          <w:bCs/>
        </w:rPr>
      </w:pPr>
      <w:r>
        <w:rPr>
          <w:rFonts w:ascii="Arial" w:hAnsi="Arial" w:cs="Arial"/>
          <w:b/>
          <w:bCs/>
        </w:rPr>
        <w:t xml:space="preserve">Question #1: </w:t>
      </w:r>
      <w:proofErr w:type="gramStart"/>
      <w:r w:rsidRPr="00D3745D">
        <w:rPr>
          <w:rFonts w:ascii="Arial" w:hAnsi="Arial" w:cs="Arial"/>
        </w:rPr>
        <w:t>Was</w:t>
      </w:r>
      <w:proofErr w:type="gramEnd"/>
      <w:r w:rsidRPr="00D3745D">
        <w:rPr>
          <w:rFonts w:ascii="Arial" w:hAnsi="Arial" w:cs="Arial"/>
        </w:rPr>
        <w:t xml:space="preserve"> the </w:t>
      </w:r>
      <w:proofErr w:type="gramStart"/>
      <w:r w:rsidRPr="00D3745D">
        <w:rPr>
          <w:rFonts w:ascii="Arial" w:hAnsi="Arial" w:cs="Arial"/>
        </w:rPr>
        <w:t>applicants</w:t>
      </w:r>
      <w:proofErr w:type="gramEnd"/>
      <w:r w:rsidRPr="00D3745D">
        <w:rPr>
          <w:rFonts w:ascii="Arial" w:hAnsi="Arial" w:cs="Arial"/>
        </w:rPr>
        <w:t xml:space="preserve"> conferences recorded, and can you share a recording?</w:t>
      </w:r>
    </w:p>
    <w:p w14:paraId="6A8911CB" w14:textId="77777777" w:rsidR="00D3745D" w:rsidRDefault="00D3745D" w:rsidP="00D3745D">
      <w:pPr>
        <w:pStyle w:val="ListParagraph"/>
        <w:rPr>
          <w:rFonts w:ascii="Arial" w:hAnsi="Arial" w:cs="Arial"/>
          <w:b/>
          <w:bCs/>
        </w:rPr>
      </w:pPr>
    </w:p>
    <w:p w14:paraId="70F91FF9" w14:textId="3241ED1D" w:rsidR="00D3745D" w:rsidRDefault="00D3745D" w:rsidP="00D3745D">
      <w:pPr>
        <w:pStyle w:val="ListParagraph"/>
        <w:rPr>
          <w:rFonts w:ascii="Arial" w:hAnsi="Arial" w:cs="Arial"/>
          <w:b/>
          <w:bCs/>
        </w:rPr>
      </w:pPr>
      <w:r>
        <w:rPr>
          <w:rFonts w:ascii="Arial" w:hAnsi="Arial" w:cs="Arial"/>
          <w:b/>
          <w:bCs/>
        </w:rPr>
        <w:t>Response #1</w:t>
      </w:r>
      <w:proofErr w:type="gramStart"/>
      <w:r>
        <w:rPr>
          <w:rFonts w:ascii="Arial" w:hAnsi="Arial" w:cs="Arial"/>
          <w:b/>
          <w:bCs/>
        </w:rPr>
        <w:t xml:space="preserve">:  </w:t>
      </w:r>
      <w:r w:rsidRPr="00D3745D">
        <w:rPr>
          <w:rFonts w:ascii="Arial" w:hAnsi="Arial" w:cs="Arial"/>
        </w:rPr>
        <w:t>There</w:t>
      </w:r>
      <w:proofErr w:type="gramEnd"/>
      <w:r w:rsidRPr="00D3745D">
        <w:rPr>
          <w:rFonts w:ascii="Arial" w:hAnsi="Arial" w:cs="Arial"/>
        </w:rPr>
        <w:t xml:space="preserve"> were two </w:t>
      </w:r>
      <w:proofErr w:type="gramStart"/>
      <w:r w:rsidRPr="00D3745D">
        <w:rPr>
          <w:rFonts w:ascii="Arial" w:hAnsi="Arial" w:cs="Arial"/>
        </w:rPr>
        <w:t>applicants</w:t>
      </w:r>
      <w:proofErr w:type="gramEnd"/>
      <w:r w:rsidRPr="00D3745D">
        <w:rPr>
          <w:rFonts w:ascii="Arial" w:hAnsi="Arial" w:cs="Arial"/>
        </w:rPr>
        <w:t xml:space="preserve"> conferences on April 16.  Both were recorded.  However, the files are large and cannot be emailed.  For convenience, AI summaries follow:</w:t>
      </w:r>
    </w:p>
    <w:p w14:paraId="551435F8" w14:textId="77777777" w:rsidR="00D3745D" w:rsidRDefault="00D3745D" w:rsidP="00D3745D">
      <w:pPr>
        <w:pStyle w:val="ListParagraph"/>
        <w:rPr>
          <w:rFonts w:ascii="Arial" w:hAnsi="Arial" w:cs="Arial"/>
          <w:b/>
          <w:bCs/>
        </w:rPr>
      </w:pPr>
      <w:r>
        <w:rPr>
          <w:rFonts w:ascii="Arial" w:hAnsi="Arial" w:cs="Arial"/>
          <w:b/>
          <w:bCs/>
        </w:rPr>
        <w:tab/>
      </w:r>
    </w:p>
    <w:p w14:paraId="186406ED" w14:textId="22EC0F50" w:rsidR="00D3745D" w:rsidRPr="00D3745D" w:rsidRDefault="00D3745D" w:rsidP="00D3745D">
      <w:pPr>
        <w:pStyle w:val="ListParagraph"/>
        <w:rPr>
          <w:rFonts w:ascii="Arial" w:hAnsi="Arial" w:cs="Arial"/>
          <w:i/>
          <w:iCs/>
          <w:u w:val="single"/>
        </w:rPr>
      </w:pPr>
      <w:r w:rsidRPr="00D3745D">
        <w:rPr>
          <w:rFonts w:ascii="Arial" w:hAnsi="Arial" w:cs="Arial"/>
          <w:i/>
          <w:iCs/>
          <w:u w:val="single"/>
        </w:rPr>
        <w:t>April 16 at 10:00 a.m.</w:t>
      </w:r>
    </w:p>
    <w:p w14:paraId="1490856E" w14:textId="77777777" w:rsidR="00D3745D" w:rsidRDefault="00D3745D" w:rsidP="00D3745D">
      <w:pPr>
        <w:numPr>
          <w:ilvl w:val="0"/>
          <w:numId w:val="2"/>
        </w:numPr>
        <w:spacing w:before="100" w:beforeAutospacing="1" w:after="100" w:afterAutospacing="1" w:line="240" w:lineRule="auto"/>
        <w:rPr>
          <w:rFonts w:eastAsia="Times New Roman"/>
          <w14:ligatures w14:val="none"/>
        </w:rPr>
      </w:pPr>
      <w:r>
        <w:rPr>
          <w:rFonts w:ascii="Arial" w:hAnsi="Arial" w:cs="Arial"/>
          <w:b/>
          <w:bCs/>
        </w:rPr>
        <w:tab/>
      </w:r>
      <w:r>
        <w:rPr>
          <w:rFonts w:eastAsia="Times New Roman"/>
          <w:b/>
          <w:bCs/>
          <w14:ligatures w14:val="none"/>
        </w:rPr>
        <w:t xml:space="preserve">Combining Awards for Alzheimer's Association Chapters: </w:t>
      </w:r>
      <w:r>
        <w:rPr>
          <w:rFonts w:eastAsia="Times New Roman"/>
          <w14:ligatures w14:val="none"/>
        </w:rPr>
        <w:t>Courtney from the Alzheimer's Association asked Doni Green about the possibility of combining awards between two chapters in the North Central Texas Council of Governments service area, and Doni confirmed this is acceptable if one chapter acts as the lead applicant and all agreements, payments, and monitoring are issued to a single entity.</w:t>
      </w:r>
    </w:p>
    <w:p w14:paraId="075B7A85"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Lead Applicant Requirement: </w:t>
      </w:r>
      <w:r>
        <w:rPr>
          <w:rFonts w:eastAsia="Times New Roman"/>
          <w14:ligatures w14:val="none"/>
        </w:rPr>
        <w:t>Doni explained that for combined awards, one of the Alzheimer's Association chapters must serve as the lead applicant, with agreements, funding, and monitoring issued to that entity, while the other chapter can participate as a partner.</w:t>
      </w:r>
    </w:p>
    <w:p w14:paraId="5B780493"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Subcontractor Model Consideration: </w:t>
      </w:r>
      <w:r>
        <w:rPr>
          <w:rFonts w:eastAsia="Times New Roman"/>
          <w14:ligatures w14:val="none"/>
        </w:rPr>
        <w:t xml:space="preserve">Doni noted that the arrangement is </w:t>
      </w:r>
      <w:proofErr w:type="gramStart"/>
      <w:r>
        <w:rPr>
          <w:rFonts w:eastAsia="Times New Roman"/>
          <w14:ligatures w14:val="none"/>
        </w:rPr>
        <w:t>similar to</w:t>
      </w:r>
      <w:proofErr w:type="gramEnd"/>
      <w:r>
        <w:rPr>
          <w:rFonts w:eastAsia="Times New Roman"/>
          <w14:ligatures w14:val="none"/>
        </w:rPr>
        <w:t xml:space="preserve"> a subcontractor relationship, but since the Alzheimer's Association is a single organization with local chapters, as long as one agreement and payment is issued to an entity, the model is acceptable.</w:t>
      </w:r>
    </w:p>
    <w:p w14:paraId="26546773"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Reporting and Follow-Up Questions: </w:t>
      </w:r>
      <w:r>
        <w:rPr>
          <w:rFonts w:eastAsia="Times New Roman"/>
          <w14:ligatures w14:val="none"/>
        </w:rPr>
        <w:t>Courtney mentioned that their accounting and grants teams may have additional questions, and Doni confirmed that these can be submitted in writing, with responses shared with all applicants.</w:t>
      </w:r>
    </w:p>
    <w:p w14:paraId="0F117DC6" w14:textId="77777777" w:rsidR="00D3745D" w:rsidRDefault="00D3745D" w:rsidP="00D3745D">
      <w:pPr>
        <w:numPr>
          <w:ilvl w:val="0"/>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Funding Levels and Budget Expectations: </w:t>
      </w:r>
      <w:r>
        <w:rPr>
          <w:rFonts w:eastAsia="Times New Roman"/>
          <w14:ligatures w14:val="none"/>
        </w:rPr>
        <w:t>Joy Hinkleman inquired about anticipated funding levels for the 2027-2031 agreement term, and Doni Green clarified that while the president's budget proposes level funding for Older Americans Act programs, regional support is expected to remain similar to previous years, with funding decisions based on the aggregate and individual applications.</w:t>
      </w:r>
    </w:p>
    <w:p w14:paraId="2D12C3FC"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Budget Status: </w:t>
      </w:r>
      <w:r>
        <w:rPr>
          <w:rFonts w:eastAsia="Times New Roman"/>
          <w14:ligatures w14:val="none"/>
        </w:rPr>
        <w:t>Doni stated that there is no information yet about the fiscal year 2027 budget, but the president's budget proposes level funding for Older Americans Act programs, which is positive compared to previous concerns about cuts.</w:t>
      </w:r>
    </w:p>
    <w:p w14:paraId="43F57715"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Regional Funding Approach: </w:t>
      </w:r>
      <w:r>
        <w:rPr>
          <w:rFonts w:eastAsia="Times New Roman"/>
          <w14:ligatures w14:val="none"/>
        </w:rPr>
        <w:t xml:space="preserve">Doni explained that at the regional level, funding is expected to be </w:t>
      </w:r>
      <w:proofErr w:type="gramStart"/>
      <w:r>
        <w:rPr>
          <w:rFonts w:eastAsia="Times New Roman"/>
          <w14:ligatures w14:val="none"/>
        </w:rPr>
        <w:t>similar to</w:t>
      </w:r>
      <w:proofErr w:type="gramEnd"/>
      <w:r>
        <w:rPr>
          <w:rFonts w:eastAsia="Times New Roman"/>
          <w14:ligatures w14:val="none"/>
        </w:rPr>
        <w:t xml:space="preserve"> the previous five-year period, with 8 to 10 caregiver projects funded, but not all successful applicants will receive the same level of funding.</w:t>
      </w:r>
    </w:p>
    <w:p w14:paraId="3AE646FB"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lastRenderedPageBreak/>
        <w:t xml:space="preserve">Application Review Process: </w:t>
      </w:r>
      <w:r>
        <w:rPr>
          <w:rFonts w:eastAsia="Times New Roman"/>
          <w14:ligatures w14:val="none"/>
        </w:rPr>
        <w:t>Doni emphasized that applications will be reviewed in their entirety, and comparable funding will be considered in the aggregate, rather than guaranteeing equal funding for all applicants.</w:t>
      </w:r>
    </w:p>
    <w:p w14:paraId="2F3DE9AB" w14:textId="77777777" w:rsidR="00D3745D" w:rsidRDefault="00D3745D" w:rsidP="00D3745D">
      <w:pPr>
        <w:numPr>
          <w:ilvl w:val="0"/>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Application Scoring Criteria and Common Pitfalls: </w:t>
      </w:r>
      <w:r>
        <w:rPr>
          <w:rFonts w:eastAsia="Times New Roman"/>
          <w14:ligatures w14:val="none"/>
        </w:rPr>
        <w:t>Michelle asked Doni Green for advice on maximizing application scores and avoiding common mistakes, prompting Doni to review the scoring criteria and highlight frequent errors such as overly ambitious goals, insufficient outreach plans, and misunderstanding the matching funds requirement.</w:t>
      </w:r>
    </w:p>
    <w:p w14:paraId="753A20D5"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Scoring Criteria Overview: </w:t>
      </w:r>
      <w:r>
        <w:rPr>
          <w:rFonts w:eastAsia="Times New Roman"/>
          <w14:ligatures w14:val="none"/>
        </w:rPr>
        <w:t>Doni described the scoring criteria, including program goals, objectives, outcomes, evaluation plan (35 points), sources of financial support, service volumes, program cost (35 points), targeting and outreach (20 points), organizational history (20 points), and responsiveness to RFP (10 points), totaling 120 points.</w:t>
      </w:r>
    </w:p>
    <w:p w14:paraId="520A71CE"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Program Goals and Evaluation: </w:t>
      </w:r>
      <w:r>
        <w:rPr>
          <w:rFonts w:eastAsia="Times New Roman"/>
          <w14:ligatures w14:val="none"/>
        </w:rPr>
        <w:t>Applicants should clearly define program goals, objectives, outcomes, and evaluation plans, such as specifying the number of workshops and how effectiveness will be measured, with evaluation plans distinguishing strong proposals.</w:t>
      </w:r>
    </w:p>
    <w:p w14:paraId="75BCD15C"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Common Mistakes: </w:t>
      </w:r>
      <w:r>
        <w:rPr>
          <w:rFonts w:eastAsia="Times New Roman"/>
          <w14:ligatures w14:val="none"/>
        </w:rPr>
        <w:t>Doni warned against being too ambitious with projected numbers, which can raise red flags, and against proposing too few activities for the requested funding, which can affect cost-effectiveness scores.</w:t>
      </w:r>
    </w:p>
    <w:p w14:paraId="67B8BB58"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Matching Funds Requirement: </w:t>
      </w:r>
      <w:r>
        <w:rPr>
          <w:rFonts w:eastAsia="Times New Roman"/>
          <w14:ligatures w14:val="none"/>
        </w:rPr>
        <w:t>Doni explained that caregiver services require a 25% match based on the total program budget, not just federal funds, and applicants often lose points by budgeting incorrectly for the match.</w:t>
      </w:r>
    </w:p>
    <w:p w14:paraId="34F801CD"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Organizational History and References: </w:t>
      </w:r>
      <w:r>
        <w:rPr>
          <w:rFonts w:eastAsia="Times New Roman"/>
          <w14:ligatures w14:val="none"/>
        </w:rPr>
        <w:t xml:space="preserve">Applicants with no prior COG contracts must provide at least three valid references or recent audits to demonstrate fiscal </w:t>
      </w:r>
      <w:proofErr w:type="gramStart"/>
      <w:r>
        <w:rPr>
          <w:rFonts w:eastAsia="Times New Roman"/>
          <w14:ligatures w14:val="none"/>
        </w:rPr>
        <w:t>controls, and</w:t>
      </w:r>
      <w:proofErr w:type="gramEnd"/>
      <w:r>
        <w:rPr>
          <w:rFonts w:eastAsia="Times New Roman"/>
          <w14:ligatures w14:val="none"/>
        </w:rPr>
        <w:t xml:space="preserve"> missing or invalid references can result in lost points.</w:t>
      </w:r>
    </w:p>
    <w:p w14:paraId="2969DF5B"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Responsiveness to RFP: </w:t>
      </w:r>
      <w:r>
        <w:rPr>
          <w:rFonts w:eastAsia="Times New Roman"/>
          <w14:ligatures w14:val="none"/>
        </w:rPr>
        <w:t>Doni emphasized the importance of following instructions, completing all forms, and providing sufficient narrative detail, noting that missing critical information such as the program narrative can lead to rejection.</w:t>
      </w:r>
    </w:p>
    <w:p w14:paraId="5DAA5D47" w14:textId="77777777" w:rsidR="00D3745D" w:rsidRDefault="00D3745D" w:rsidP="00D3745D">
      <w:pPr>
        <w:numPr>
          <w:ilvl w:val="0"/>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Post-Conference Question Submission Process: </w:t>
      </w:r>
      <w:r>
        <w:rPr>
          <w:rFonts w:eastAsia="Times New Roman"/>
          <w14:ligatures w14:val="none"/>
        </w:rPr>
        <w:t>Doni Green reminded all participants that any questions after the conference should be submitted via email, and written responses will be shared with all applicants to ensure transparency.</w:t>
      </w:r>
    </w:p>
    <w:p w14:paraId="6BC967F9" w14:textId="77777777" w:rsidR="00D3745D" w:rsidRDefault="00D3745D" w:rsidP="00D3745D">
      <w:pPr>
        <w:numPr>
          <w:ilvl w:val="1"/>
          <w:numId w:val="2"/>
        </w:numPr>
        <w:spacing w:before="100" w:beforeAutospacing="1" w:after="100" w:afterAutospacing="1" w:line="240" w:lineRule="auto"/>
        <w:rPr>
          <w:rFonts w:eastAsia="Times New Roman"/>
          <w14:ligatures w14:val="none"/>
        </w:rPr>
      </w:pPr>
      <w:r>
        <w:rPr>
          <w:rFonts w:eastAsia="Times New Roman"/>
          <w:b/>
          <w:bCs/>
          <w14:ligatures w14:val="none"/>
        </w:rPr>
        <w:t xml:space="preserve">Written Response Policy: </w:t>
      </w:r>
      <w:r>
        <w:rPr>
          <w:rFonts w:eastAsia="Times New Roman"/>
          <w14:ligatures w14:val="none"/>
        </w:rPr>
        <w:t>Doni reiterated that questions submitted after the conference must be sent in writing, and responses will be distributed to the entire applicant group.</w:t>
      </w:r>
    </w:p>
    <w:p w14:paraId="34E0CD23" w14:textId="73770EC5" w:rsidR="00D3745D" w:rsidRPr="00D3745D" w:rsidRDefault="00D3745D" w:rsidP="00D3745D">
      <w:pPr>
        <w:spacing w:before="100" w:beforeAutospacing="1" w:after="100" w:afterAutospacing="1" w:line="240" w:lineRule="auto"/>
        <w:rPr>
          <w:rFonts w:eastAsia="Times New Roman"/>
          <w:i/>
          <w:iCs/>
          <w:u w:val="single"/>
          <w14:ligatures w14:val="none"/>
        </w:rPr>
      </w:pPr>
      <w:r w:rsidRPr="00D3745D">
        <w:rPr>
          <w:rFonts w:eastAsia="Times New Roman"/>
          <w:i/>
          <w:iCs/>
          <w:u w:val="single"/>
          <w14:ligatures w14:val="none"/>
        </w:rPr>
        <w:t xml:space="preserve">April 16, </w:t>
      </w:r>
      <w:proofErr w:type="gramStart"/>
      <w:r w:rsidRPr="00D3745D">
        <w:rPr>
          <w:rFonts w:eastAsia="Times New Roman"/>
          <w:i/>
          <w:iCs/>
          <w:u w:val="single"/>
          <w14:ligatures w14:val="none"/>
        </w:rPr>
        <w:t>2026</w:t>
      </w:r>
      <w:proofErr w:type="gramEnd"/>
      <w:r w:rsidRPr="00D3745D">
        <w:rPr>
          <w:rFonts w:eastAsia="Times New Roman"/>
          <w:i/>
          <w:iCs/>
          <w:u w:val="single"/>
          <w14:ligatures w14:val="none"/>
        </w:rPr>
        <w:t xml:space="preserve"> at 11:00 a.m.</w:t>
      </w:r>
    </w:p>
    <w:p w14:paraId="0240C572"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Application Process and Submission Requirements: </w:t>
      </w:r>
      <w:r>
        <w:rPr>
          <w:rFonts w:eastAsia="Times New Roman"/>
          <w14:ligatures w14:val="none"/>
        </w:rPr>
        <w:t xml:space="preserve">Doni Green explained to Gail, Robert, and other participants that applications for the 2027-2031 caregiver services projects must be submitted directly via email or mail, </w:t>
      </w:r>
      <w:proofErr w:type="gramStart"/>
      <w:r>
        <w:rPr>
          <w:rFonts w:eastAsia="Times New Roman"/>
          <w14:ligatures w14:val="none"/>
        </w:rPr>
        <w:t>bypassing</w:t>
      </w:r>
      <w:proofErr w:type="gramEnd"/>
      <w:r>
        <w:rPr>
          <w:rFonts w:eastAsia="Times New Roman"/>
          <w14:ligatures w14:val="none"/>
        </w:rPr>
        <w:t xml:space="preserve"> the </w:t>
      </w:r>
      <w:proofErr w:type="spellStart"/>
      <w:r>
        <w:rPr>
          <w:rFonts w:eastAsia="Times New Roman"/>
          <w14:ligatures w14:val="none"/>
        </w:rPr>
        <w:t>BidNet</w:t>
      </w:r>
      <w:proofErr w:type="spellEnd"/>
      <w:r>
        <w:rPr>
          <w:rFonts w:eastAsia="Times New Roman"/>
          <w14:ligatures w14:val="none"/>
        </w:rPr>
        <w:t xml:space="preserve"> </w:t>
      </w:r>
      <w:r>
        <w:rPr>
          <w:rFonts w:eastAsia="Times New Roman"/>
          <w14:ligatures w14:val="none"/>
        </w:rPr>
        <w:lastRenderedPageBreak/>
        <w:t>system, and outlined the review and scoring process, deadlines, and required documentation including UEI and SAM registration.</w:t>
      </w:r>
    </w:p>
    <w:p w14:paraId="09E35194"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Submission Method: </w:t>
      </w:r>
      <w:r>
        <w:rPr>
          <w:rFonts w:eastAsia="Times New Roman"/>
          <w14:ligatures w14:val="none"/>
        </w:rPr>
        <w:t xml:space="preserve">Doni Green clarified that the procurement division and </w:t>
      </w:r>
      <w:proofErr w:type="spellStart"/>
      <w:r>
        <w:rPr>
          <w:rFonts w:eastAsia="Times New Roman"/>
          <w14:ligatures w14:val="none"/>
        </w:rPr>
        <w:t>BidNet</w:t>
      </w:r>
      <w:proofErr w:type="spellEnd"/>
      <w:r>
        <w:rPr>
          <w:rFonts w:eastAsia="Times New Roman"/>
          <w14:ligatures w14:val="none"/>
        </w:rPr>
        <w:t xml:space="preserve"> system are not involved in this call for projects; applicants should submit their proposals directly to Doni via email or mail, ensuring receipt by the Tuesday morning after Labor Day.</w:t>
      </w:r>
    </w:p>
    <w:p w14:paraId="70BD3FDB"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Review Committee and Scoring: </w:t>
      </w:r>
      <w:r>
        <w:rPr>
          <w:rFonts w:eastAsia="Times New Roman"/>
          <w14:ligatures w14:val="none"/>
        </w:rPr>
        <w:t xml:space="preserve">Regardless of submission method, a review committee of at least three people will evaluate and score proposals, following a process </w:t>
      </w:r>
      <w:proofErr w:type="gramStart"/>
      <w:r>
        <w:rPr>
          <w:rFonts w:eastAsia="Times New Roman"/>
          <w14:ligatures w14:val="none"/>
        </w:rPr>
        <w:t>similar to</w:t>
      </w:r>
      <w:proofErr w:type="gramEnd"/>
      <w:r>
        <w:rPr>
          <w:rFonts w:eastAsia="Times New Roman"/>
          <w14:ligatures w14:val="none"/>
        </w:rPr>
        <w:t xml:space="preserve"> previous contracts, focusing on program goals, objectives, outcomes, and financial support.</w:t>
      </w:r>
    </w:p>
    <w:p w14:paraId="2747A205"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Required Documentation: </w:t>
      </w:r>
      <w:r>
        <w:rPr>
          <w:rFonts w:eastAsia="Times New Roman"/>
          <w14:ligatures w14:val="none"/>
        </w:rPr>
        <w:t>Applicants must provide a Unique Entity Identifier (UEI), maintain an active SAM registration, submit a risk assessment questionnaire, and include financial statements; if registration is pending, applicants should document the submission date.</w:t>
      </w:r>
    </w:p>
    <w:p w14:paraId="021F72E9"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Deadlines and Flexibility: </w:t>
      </w:r>
      <w:r>
        <w:rPr>
          <w:rFonts w:eastAsia="Times New Roman"/>
          <w14:ligatures w14:val="none"/>
        </w:rPr>
        <w:t>Applications must be received by the specified deadline, and if UEI or SAM registration is not completed, applicants are allowed to submit proof of initiation without being precluded from applying.</w:t>
      </w:r>
    </w:p>
    <w:p w14:paraId="0B880700"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Service Categories and Eligibility Criteria: </w:t>
      </w:r>
      <w:r>
        <w:rPr>
          <w:rFonts w:eastAsia="Times New Roman"/>
          <w14:ligatures w14:val="none"/>
        </w:rPr>
        <w:t xml:space="preserve">Doni Green described to Jaime, Kimberly, Gail, and others the four service </w:t>
      </w:r>
      <w:proofErr w:type="gramStart"/>
      <w:r>
        <w:rPr>
          <w:rFonts w:eastAsia="Times New Roman"/>
          <w14:ligatures w14:val="none"/>
        </w:rPr>
        <w:t>categories—caregiver counseling,</w:t>
      </w:r>
      <w:proofErr w:type="gramEnd"/>
      <w:r>
        <w:rPr>
          <w:rFonts w:eastAsia="Times New Roman"/>
          <w14:ligatures w14:val="none"/>
        </w:rPr>
        <w:t xml:space="preserve"> caregiver information services, caregiver training, and instruction and training—detailing </w:t>
      </w:r>
      <w:proofErr w:type="gramStart"/>
      <w:r>
        <w:rPr>
          <w:rFonts w:eastAsia="Times New Roman"/>
          <w14:ligatures w14:val="none"/>
        </w:rPr>
        <w:t>eligibility, target populations</w:t>
      </w:r>
      <w:proofErr w:type="gramEnd"/>
      <w:r>
        <w:rPr>
          <w:rFonts w:eastAsia="Times New Roman"/>
          <w14:ligatures w14:val="none"/>
        </w:rPr>
        <w:t>, and distinctions between services, including match requirements and reporting obligations.</w:t>
      </w:r>
    </w:p>
    <w:p w14:paraId="7C8140DF"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Service Definitions: </w:t>
      </w:r>
      <w:r>
        <w:rPr>
          <w:rFonts w:eastAsia="Times New Roman"/>
          <w14:ligatures w14:val="none"/>
        </w:rPr>
        <w:t xml:space="preserve">Caregiver counseling supports caregivers with licensed professionals, caregiver information services disseminate information through various media, caregiver training improves caregiving skills, and instruction and training </w:t>
      </w:r>
      <w:proofErr w:type="gramStart"/>
      <w:r>
        <w:rPr>
          <w:rFonts w:eastAsia="Times New Roman"/>
          <w14:ligatures w14:val="none"/>
        </w:rPr>
        <w:t>targets</w:t>
      </w:r>
      <w:proofErr w:type="gramEnd"/>
      <w:r>
        <w:rPr>
          <w:rFonts w:eastAsia="Times New Roman"/>
          <w14:ligatures w14:val="none"/>
        </w:rPr>
        <w:t xml:space="preserve"> both laypersons and professionals.</w:t>
      </w:r>
    </w:p>
    <w:p w14:paraId="05A2B2DA"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Eligibility and Target Populations: </w:t>
      </w:r>
      <w:r>
        <w:rPr>
          <w:rFonts w:eastAsia="Times New Roman"/>
          <w14:ligatures w14:val="none"/>
        </w:rPr>
        <w:t>Caregiver services focus on unpaid caregivers for older adults, people with dementia, or those with severe disabilities, while instruction and training is broader and can include paid professionals and mixed audiences.</w:t>
      </w:r>
    </w:p>
    <w:p w14:paraId="4DB40586"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Match Requirements: </w:t>
      </w:r>
      <w:r>
        <w:rPr>
          <w:rFonts w:eastAsia="Times New Roman"/>
          <w14:ligatures w14:val="none"/>
        </w:rPr>
        <w:t>A 25% match is required for caregiver counseling, caregiver information services, and caregiver training, which can be cash, in-kind, or a combination; instruction and training does not require a match.</w:t>
      </w:r>
    </w:p>
    <w:p w14:paraId="0E44C597"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Reporting Requirements: </w:t>
      </w:r>
      <w:r>
        <w:rPr>
          <w:rFonts w:eastAsia="Times New Roman"/>
          <w14:ligatures w14:val="none"/>
        </w:rPr>
        <w:t>Caregiver counseling and training require participant-level data and intakes, while information services and instruction and training only require reporting of events and estimated audience size.</w:t>
      </w:r>
    </w:p>
    <w:p w14:paraId="7F5CF882"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Caregiver Counseling and Information Services Details: </w:t>
      </w:r>
      <w:r>
        <w:rPr>
          <w:rFonts w:eastAsia="Times New Roman"/>
          <w14:ligatures w14:val="none"/>
        </w:rPr>
        <w:t>Kimberly, Jaime, and Juhree asked Doni Green for clarification on caregiver counseling and information services, including facilitator qualifications, reporting burdens, and allowable activities, with Doni providing guidance on service definitions, data collection, and use of professional and lay facilitators.</w:t>
      </w:r>
    </w:p>
    <w:p w14:paraId="2CB69E72"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Facilitator Qualifications: </w:t>
      </w:r>
      <w:r>
        <w:rPr>
          <w:rFonts w:eastAsia="Times New Roman"/>
          <w14:ligatures w14:val="none"/>
        </w:rPr>
        <w:t>Caregiver counseling requires licensed counselors, while information services can be facilitated by laypersons; peer support models fit under information services, not counseling.</w:t>
      </w:r>
    </w:p>
    <w:p w14:paraId="74E941C5"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lastRenderedPageBreak/>
        <w:t xml:space="preserve">Reporting Burden: </w:t>
      </w:r>
      <w:r>
        <w:rPr>
          <w:rFonts w:eastAsia="Times New Roman"/>
          <w14:ligatures w14:val="none"/>
        </w:rPr>
        <w:t>Caregiver counseling necessitates detailed participant data and intakes, whereas information services only require reporting of session counts and estimated audience size, making information services less burdensome.</w:t>
      </w:r>
    </w:p>
    <w:p w14:paraId="338D11E9"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Allowable Activities: </w:t>
      </w:r>
      <w:r>
        <w:rPr>
          <w:rFonts w:eastAsia="Times New Roman"/>
          <w14:ligatures w14:val="none"/>
        </w:rPr>
        <w:t xml:space="preserve">Information services can include resource libraries, webinars, group education, and bringing in expert speakers, provided the content remains educational and not </w:t>
      </w:r>
      <w:proofErr w:type="gramStart"/>
      <w:r>
        <w:rPr>
          <w:rFonts w:eastAsia="Times New Roman"/>
          <w14:ligatures w14:val="none"/>
        </w:rPr>
        <w:t>sales-oriented</w:t>
      </w:r>
      <w:proofErr w:type="gramEnd"/>
      <w:r>
        <w:rPr>
          <w:rFonts w:eastAsia="Times New Roman"/>
          <w14:ligatures w14:val="none"/>
        </w:rPr>
        <w:t>.</w:t>
      </w:r>
    </w:p>
    <w:p w14:paraId="45F4EE7D"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Use of Professionals and Laypersons: </w:t>
      </w:r>
      <w:r>
        <w:rPr>
          <w:rFonts w:eastAsia="Times New Roman"/>
          <w14:ligatures w14:val="none"/>
        </w:rPr>
        <w:t>Professional facilitators are required for counseling, but laypersons or students can facilitate information services; students not yet licensed may participate under information services.</w:t>
      </w:r>
    </w:p>
    <w:p w14:paraId="606DF8E4"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Fiscal Reporting and Reimbursement Structures: </w:t>
      </w:r>
      <w:r>
        <w:rPr>
          <w:rFonts w:eastAsia="Times New Roman"/>
          <w14:ligatures w14:val="none"/>
        </w:rPr>
        <w:t>Gail and Marty discussed with Doni Green the fiscal reporting and reimbursement structures for instruction and training versus other service categories, with Doni clarifying that instruction and training must be reimbursed on a cost basis, but unit rate agreements may be considered with administrative and legal review.</w:t>
      </w:r>
    </w:p>
    <w:p w14:paraId="75F2279B"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Cost Basis Requirement: </w:t>
      </w:r>
      <w:r>
        <w:rPr>
          <w:rFonts w:eastAsia="Times New Roman"/>
          <w14:ligatures w14:val="none"/>
        </w:rPr>
        <w:t>Instruction and training services must be reimbursed on a cost basis per state requirements, but Doni noted that hourly or unit rate structures may be possible pending review by admin and legal teams.</w:t>
      </w:r>
    </w:p>
    <w:p w14:paraId="65E64AE9"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Reporting Structures: </w:t>
      </w:r>
      <w:r>
        <w:rPr>
          <w:rFonts w:eastAsia="Times New Roman"/>
          <w14:ligatures w14:val="none"/>
        </w:rPr>
        <w:t xml:space="preserve">Subrecipients must submit monthly fiscal reports detailing program outlays, cash </w:t>
      </w:r>
      <w:proofErr w:type="gramStart"/>
      <w:r>
        <w:rPr>
          <w:rFonts w:eastAsia="Times New Roman"/>
          <w14:ligatures w14:val="none"/>
        </w:rPr>
        <w:t>match</w:t>
      </w:r>
      <w:proofErr w:type="gramEnd"/>
      <w:r>
        <w:rPr>
          <w:rFonts w:eastAsia="Times New Roman"/>
          <w14:ligatures w14:val="none"/>
        </w:rPr>
        <w:t xml:space="preserve">, and in-kind </w:t>
      </w:r>
      <w:proofErr w:type="gramStart"/>
      <w:r>
        <w:rPr>
          <w:rFonts w:eastAsia="Times New Roman"/>
          <w14:ligatures w14:val="none"/>
        </w:rPr>
        <w:t>match</w:t>
      </w:r>
      <w:proofErr w:type="gramEnd"/>
      <w:r>
        <w:rPr>
          <w:rFonts w:eastAsia="Times New Roman"/>
          <w14:ligatures w14:val="none"/>
        </w:rPr>
        <w:t xml:space="preserve"> for cost reimbursement agreements; unit rate agreements require similar reporting if applicable.</w:t>
      </w:r>
    </w:p>
    <w:p w14:paraId="4ED4B22C"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Flexibility in Agreements: </w:t>
      </w:r>
      <w:r>
        <w:rPr>
          <w:rFonts w:eastAsia="Times New Roman"/>
          <w14:ligatures w14:val="none"/>
        </w:rPr>
        <w:t>Doni advised applicants to submit their budgets and event projections, and NCTCOG will work with them to determine the most appropriate reimbursement structure.</w:t>
      </w:r>
    </w:p>
    <w:p w14:paraId="50C4208B" w14:textId="77777777" w:rsidR="00D3745D" w:rsidRDefault="00D3745D" w:rsidP="00D3745D">
      <w:pPr>
        <w:numPr>
          <w:ilvl w:val="0"/>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UEI and SAM Registration Guidance: </w:t>
      </w:r>
      <w:r>
        <w:rPr>
          <w:rFonts w:eastAsia="Times New Roman"/>
          <w14:ligatures w14:val="none"/>
        </w:rPr>
        <w:t xml:space="preserve">Gail, Marty, and Doni Green discussed the requirements and challenges of UEI and SAM registration, including renewal frequency, troubleshooting, and avoiding unnecessary fees, with Doni confirming that registration is required for application and </w:t>
      </w:r>
      <w:proofErr w:type="gramStart"/>
      <w:r>
        <w:rPr>
          <w:rFonts w:eastAsia="Times New Roman"/>
          <w14:ligatures w14:val="none"/>
        </w:rPr>
        <w:t>funding</w:t>
      </w:r>
      <w:proofErr w:type="gramEnd"/>
      <w:r>
        <w:rPr>
          <w:rFonts w:eastAsia="Times New Roman"/>
          <w14:ligatures w14:val="none"/>
        </w:rPr>
        <w:t xml:space="preserve"> but flexibility exists if registration is pending at submission.</w:t>
      </w:r>
    </w:p>
    <w:p w14:paraId="0F21572E"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Registration Requirements: </w:t>
      </w:r>
      <w:r>
        <w:rPr>
          <w:rFonts w:eastAsia="Times New Roman"/>
          <w14:ligatures w14:val="none"/>
        </w:rPr>
        <w:t>Applicants must obtain a Unique Entity Identifier (UEI) and maintain an active SAM registration as part of the risk assessment and application process; these are required prior to funding recommendation and award.</w:t>
      </w:r>
    </w:p>
    <w:p w14:paraId="0D1A3BA8"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Renewal and Troubleshooting: </w:t>
      </w:r>
      <w:r>
        <w:rPr>
          <w:rFonts w:eastAsia="Times New Roman"/>
          <w14:ligatures w14:val="none"/>
        </w:rPr>
        <w:t>SAM registration typically requires annual renewal, and participants shared experiences of difficulties and the need for assistance, especially when making changes such as address updates.</w:t>
      </w:r>
    </w:p>
    <w:p w14:paraId="426F5B7F" w14:textId="77777777"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Avoiding Fees and Scams: </w:t>
      </w:r>
      <w:r>
        <w:rPr>
          <w:rFonts w:eastAsia="Times New Roman"/>
          <w14:ligatures w14:val="none"/>
        </w:rPr>
        <w:t>Doni and Marty cautioned against paying for SAM registration, emphasizing that the process is free and warning about unsolicited offers from third-party businesses.</w:t>
      </w:r>
    </w:p>
    <w:p w14:paraId="4515EB35" w14:textId="44934319" w:rsidR="00D3745D" w:rsidRDefault="00D3745D" w:rsidP="00D3745D">
      <w:pPr>
        <w:numPr>
          <w:ilvl w:val="1"/>
          <w:numId w:val="3"/>
        </w:numPr>
        <w:spacing w:before="100" w:beforeAutospacing="1" w:after="100" w:afterAutospacing="1" w:line="240" w:lineRule="auto"/>
        <w:rPr>
          <w:rFonts w:eastAsia="Times New Roman"/>
          <w14:ligatures w14:val="none"/>
        </w:rPr>
      </w:pPr>
      <w:r>
        <w:rPr>
          <w:rFonts w:eastAsia="Times New Roman"/>
          <w:b/>
          <w:bCs/>
          <w14:ligatures w14:val="none"/>
        </w:rPr>
        <w:t xml:space="preserve">Application Flexibility: </w:t>
      </w:r>
      <w:r>
        <w:rPr>
          <w:rFonts w:eastAsia="Times New Roman"/>
          <w14:ligatures w14:val="none"/>
        </w:rPr>
        <w:t xml:space="preserve">If UEI or SAM registration is not completed at the time of application, applicants may submit documentation of their </w:t>
      </w:r>
      <w:proofErr w:type="spellStart"/>
      <w:r w:rsidR="00466483">
        <w:rPr>
          <w:rFonts w:eastAsia="Times New Roman"/>
          <w14:ligatures w14:val="none"/>
        </w:rPr>
        <w:t>xpe</w:t>
      </w:r>
      <w:proofErr w:type="spellEnd"/>
    </w:p>
    <w:p w14:paraId="01974290" w14:textId="77777777" w:rsidR="00D3745D" w:rsidRDefault="00D3745D" w:rsidP="00D3745D">
      <w:r>
        <w:rPr>
          <w:rFonts w:ascii="Arial" w:hAnsi="Arial" w:cs="Arial"/>
          <w:b/>
          <w:bCs/>
        </w:rPr>
        <w:lastRenderedPageBreak/>
        <w:t>Question #2</w:t>
      </w:r>
      <w:proofErr w:type="gramStart"/>
      <w:r>
        <w:rPr>
          <w:rFonts w:ascii="Arial" w:hAnsi="Arial" w:cs="Arial"/>
          <w:b/>
          <w:bCs/>
        </w:rPr>
        <w:t xml:space="preserve">:  </w:t>
      </w:r>
      <w:r>
        <w:t>Please</w:t>
      </w:r>
      <w:proofErr w:type="gramEnd"/>
      <w:r>
        <w:t xml:space="preserve"> tell me what the matching grant is for each for the following program.</w:t>
      </w:r>
    </w:p>
    <w:p w14:paraId="6F07524F" w14:textId="699E8668" w:rsidR="00D3745D" w:rsidRDefault="00D3745D" w:rsidP="00D3745D">
      <w:pPr>
        <w:spacing w:line="240" w:lineRule="auto"/>
        <w:contextualSpacing/>
      </w:pPr>
      <w:r>
        <w:t>Caregiver Information Services</w:t>
      </w:r>
    </w:p>
    <w:p w14:paraId="06ED8C3A" w14:textId="77777777" w:rsidR="00D3745D" w:rsidRDefault="00D3745D" w:rsidP="00D3745D">
      <w:pPr>
        <w:spacing w:line="240" w:lineRule="auto"/>
        <w:contextualSpacing/>
      </w:pPr>
      <w:r>
        <w:t>Caregiver Training</w:t>
      </w:r>
    </w:p>
    <w:p w14:paraId="6229335B" w14:textId="77777777" w:rsidR="00D3745D" w:rsidRDefault="00D3745D" w:rsidP="00D3745D">
      <w:pPr>
        <w:spacing w:line="240" w:lineRule="auto"/>
        <w:contextualSpacing/>
      </w:pPr>
      <w:r>
        <w:t>Instruction and Training</w:t>
      </w:r>
    </w:p>
    <w:p w14:paraId="4E176493" w14:textId="61A4234A" w:rsidR="00D3745D" w:rsidRDefault="00D3745D" w:rsidP="00D3745D">
      <w:pPr>
        <w:rPr>
          <w:rFonts w:ascii="Arial" w:hAnsi="Arial" w:cs="Arial"/>
          <w:b/>
          <w:bCs/>
        </w:rPr>
      </w:pPr>
    </w:p>
    <w:p w14:paraId="2BD98DD4" w14:textId="27E6BD0D" w:rsidR="00B425D9" w:rsidRDefault="00D3745D" w:rsidP="00D3745D">
      <w:pPr>
        <w:rPr>
          <w:rFonts w:ascii="Arial" w:hAnsi="Arial" w:cs="Arial"/>
        </w:rPr>
      </w:pPr>
      <w:r>
        <w:rPr>
          <w:rFonts w:ascii="Arial" w:hAnsi="Arial" w:cs="Arial"/>
          <w:b/>
          <w:bCs/>
        </w:rPr>
        <w:t>Response #2</w:t>
      </w:r>
      <w:proofErr w:type="gramStart"/>
      <w:r>
        <w:rPr>
          <w:rFonts w:ascii="Arial" w:hAnsi="Arial" w:cs="Arial"/>
          <w:b/>
          <w:bCs/>
        </w:rPr>
        <w:t xml:space="preserve">:  </w:t>
      </w:r>
      <w:r>
        <w:rPr>
          <w:rFonts w:ascii="Arial" w:hAnsi="Arial" w:cs="Arial"/>
        </w:rPr>
        <w:t>Caregiver</w:t>
      </w:r>
      <w:proofErr w:type="gramEnd"/>
      <w:r>
        <w:rPr>
          <w:rFonts w:ascii="Arial" w:hAnsi="Arial" w:cs="Arial"/>
        </w:rPr>
        <w:t xml:space="preserve"> Information Services and Caregiver Training services require a 25% match. Instruction and Training </w:t>
      </w:r>
      <w:proofErr w:type="gramStart"/>
      <w:r>
        <w:rPr>
          <w:rFonts w:ascii="Arial" w:hAnsi="Arial" w:cs="Arial"/>
        </w:rPr>
        <w:t>does</w:t>
      </w:r>
      <w:proofErr w:type="gramEnd"/>
      <w:r>
        <w:rPr>
          <w:rFonts w:ascii="Arial" w:hAnsi="Arial" w:cs="Arial"/>
        </w:rPr>
        <w:t xml:space="preserve"> not require a match.</w:t>
      </w:r>
    </w:p>
    <w:p w14:paraId="5DBBE5DC" w14:textId="20829819" w:rsidR="00B425D9" w:rsidRDefault="00B425D9" w:rsidP="00B425D9">
      <w:r w:rsidRPr="00B425D9">
        <w:rPr>
          <w:rFonts w:ascii="Arial" w:hAnsi="Arial" w:cs="Arial"/>
          <w:b/>
          <w:bCs/>
        </w:rPr>
        <w:t>Question #3</w:t>
      </w:r>
      <w:proofErr w:type="gramStart"/>
      <w:r>
        <w:rPr>
          <w:rFonts w:ascii="Arial" w:hAnsi="Arial" w:cs="Arial"/>
        </w:rPr>
        <w:t xml:space="preserve">:  </w:t>
      </w:r>
      <w:r>
        <w:t>I</w:t>
      </w:r>
      <w:proofErr w:type="gramEnd"/>
      <w:r>
        <w:t xml:space="preserve"> am starting the 2027 budget sheet that is for the caregiver programs. The 2nd column isn't formatted with lines as the other columns are. Just wanted you to know because the salary will not line up with the position. </w:t>
      </w:r>
      <w:proofErr w:type="gramStart"/>
      <w:r>
        <w:t>Also</w:t>
      </w:r>
      <w:proofErr w:type="gramEnd"/>
      <w:r>
        <w:t xml:space="preserve"> the other 2 columns? "Federal Funds requested" and "Other funds". I don't understand what these </w:t>
      </w:r>
      <w:proofErr w:type="spellStart"/>
      <w:r>
        <w:t>s</w:t>
      </w:r>
      <w:r w:rsidR="00466483">
        <w:t>E</w:t>
      </w:r>
      <w:r>
        <w:t>ections</w:t>
      </w:r>
      <w:proofErr w:type="spellEnd"/>
      <w:r>
        <w:t xml:space="preserve"> are wanting or askin</w:t>
      </w:r>
      <w:r>
        <w:t>g</w:t>
      </w:r>
      <w:r>
        <w:t>. Can you help with that, so I understand.</w:t>
      </w:r>
    </w:p>
    <w:p w14:paraId="364E370C" w14:textId="211FFE99" w:rsidR="00B425D9" w:rsidRPr="00B425D9" w:rsidRDefault="00B425D9" w:rsidP="00B425D9">
      <w:r w:rsidRPr="00B425D9">
        <w:rPr>
          <w:b/>
          <w:bCs/>
        </w:rPr>
        <w:t>Response #3:</w:t>
      </w:r>
      <w:r>
        <w:t xml:space="preserve"> The </w:t>
      </w:r>
      <w:r w:rsidR="00466483">
        <w:t xml:space="preserve">FY27 budget form has been reformatted and reposted.  Expenses for which the applicant seeks federal funds should be entered under “Federal Funds requested.”  </w:t>
      </w:r>
      <w:r w:rsidR="002E4D0C">
        <w:t>Expenses that will be covered through other funds</w:t>
      </w:r>
      <w:r w:rsidR="00BA0F5E">
        <w:t xml:space="preserve"> should be entered under “Other Funds.”  In-kind contributions may also be entered under “Other Funds.” If the applicant seeks Caregiver funding, the </w:t>
      </w:r>
      <w:r w:rsidR="001051E9">
        <w:t xml:space="preserve">sum of “Other Funds” must be at least 25% of the total program budget.  </w:t>
      </w:r>
    </w:p>
    <w:p w14:paraId="753B8FB0" w14:textId="77777777" w:rsidR="00B425D9" w:rsidRDefault="00B425D9" w:rsidP="00B425D9"/>
    <w:p w14:paraId="52F17595" w14:textId="775FE5FB" w:rsidR="00B425D9" w:rsidRPr="00D3745D" w:rsidRDefault="00B425D9" w:rsidP="00D3745D">
      <w:pPr>
        <w:rPr>
          <w:rFonts w:ascii="Arial" w:hAnsi="Arial" w:cs="Arial"/>
        </w:rPr>
      </w:pPr>
    </w:p>
    <w:sectPr w:rsidR="00B425D9" w:rsidRPr="00D37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127"/>
    <w:multiLevelType w:val="multilevel"/>
    <w:tmpl w:val="508C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C68D2"/>
    <w:multiLevelType w:val="multilevel"/>
    <w:tmpl w:val="F7DE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95A8D"/>
    <w:multiLevelType w:val="hybridMultilevel"/>
    <w:tmpl w:val="52B0A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696687">
    <w:abstractNumId w:val="2"/>
  </w:num>
  <w:num w:numId="2" w16cid:durableId="1915317092">
    <w:abstractNumId w:val="1"/>
  </w:num>
  <w:num w:numId="3" w16cid:durableId="65021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5D"/>
    <w:rsid w:val="001025CA"/>
    <w:rsid w:val="001051E9"/>
    <w:rsid w:val="002E4D0C"/>
    <w:rsid w:val="002F699B"/>
    <w:rsid w:val="00466483"/>
    <w:rsid w:val="007E6E2C"/>
    <w:rsid w:val="00964A4D"/>
    <w:rsid w:val="00B425D9"/>
    <w:rsid w:val="00BA0F5E"/>
    <w:rsid w:val="00C25AEF"/>
    <w:rsid w:val="00D3745D"/>
    <w:rsid w:val="00DE185C"/>
    <w:rsid w:val="00DF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EE04"/>
  <w15:chartTrackingRefBased/>
  <w15:docId w15:val="{E9E3F415-F8A2-4AEF-AEDF-EE674945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45D"/>
    <w:rPr>
      <w:rFonts w:eastAsiaTheme="majorEastAsia" w:cstheme="majorBidi"/>
      <w:color w:val="272727" w:themeColor="text1" w:themeTint="D8"/>
    </w:rPr>
  </w:style>
  <w:style w:type="paragraph" w:styleId="Title">
    <w:name w:val="Title"/>
    <w:basedOn w:val="Normal"/>
    <w:next w:val="Normal"/>
    <w:link w:val="TitleChar"/>
    <w:uiPriority w:val="10"/>
    <w:qFormat/>
    <w:rsid w:val="00D37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45D"/>
    <w:pPr>
      <w:spacing w:before="160"/>
      <w:jc w:val="center"/>
    </w:pPr>
    <w:rPr>
      <w:i/>
      <w:iCs/>
      <w:color w:val="404040" w:themeColor="text1" w:themeTint="BF"/>
    </w:rPr>
  </w:style>
  <w:style w:type="character" w:customStyle="1" w:styleId="QuoteChar">
    <w:name w:val="Quote Char"/>
    <w:basedOn w:val="DefaultParagraphFont"/>
    <w:link w:val="Quote"/>
    <w:uiPriority w:val="29"/>
    <w:rsid w:val="00D3745D"/>
    <w:rPr>
      <w:i/>
      <w:iCs/>
      <w:color w:val="404040" w:themeColor="text1" w:themeTint="BF"/>
    </w:rPr>
  </w:style>
  <w:style w:type="paragraph" w:styleId="ListParagraph">
    <w:name w:val="List Paragraph"/>
    <w:basedOn w:val="Normal"/>
    <w:uiPriority w:val="34"/>
    <w:qFormat/>
    <w:rsid w:val="00D3745D"/>
    <w:pPr>
      <w:ind w:left="720"/>
      <w:contextualSpacing/>
    </w:pPr>
  </w:style>
  <w:style w:type="character" w:styleId="IntenseEmphasis">
    <w:name w:val="Intense Emphasis"/>
    <w:basedOn w:val="DefaultParagraphFont"/>
    <w:uiPriority w:val="21"/>
    <w:qFormat/>
    <w:rsid w:val="00D3745D"/>
    <w:rPr>
      <w:i/>
      <w:iCs/>
      <w:color w:val="0F4761" w:themeColor="accent1" w:themeShade="BF"/>
    </w:rPr>
  </w:style>
  <w:style w:type="paragraph" w:styleId="IntenseQuote">
    <w:name w:val="Intense Quote"/>
    <w:basedOn w:val="Normal"/>
    <w:next w:val="Normal"/>
    <w:link w:val="IntenseQuoteChar"/>
    <w:uiPriority w:val="30"/>
    <w:qFormat/>
    <w:rsid w:val="00D37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45D"/>
    <w:rPr>
      <w:i/>
      <w:iCs/>
      <w:color w:val="0F4761" w:themeColor="accent1" w:themeShade="BF"/>
    </w:rPr>
  </w:style>
  <w:style w:type="character" w:styleId="IntenseReference">
    <w:name w:val="Intense Reference"/>
    <w:basedOn w:val="DefaultParagraphFont"/>
    <w:uiPriority w:val="32"/>
    <w:qFormat/>
    <w:rsid w:val="00D374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061e953-577f-44bc-90d4-dd6552c79708}" enabled="1" method="Privileged" siteId="{2f5e7ebc-22b0-4fbe-934c-aabddb4e29b1}"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10487</Characters>
  <Application>Microsoft Office Word</Application>
  <DocSecurity>0</DocSecurity>
  <Lines>190</Lines>
  <Paragraphs>61</Paragraphs>
  <ScaleCrop>false</ScaleCrop>
  <Company>North Central Texas Council of Governments</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 Green</dc:creator>
  <cp:keywords/>
  <dc:description/>
  <cp:lastModifiedBy>Doni Green</cp:lastModifiedBy>
  <cp:revision>2</cp:revision>
  <dcterms:created xsi:type="dcterms:W3CDTF">2026-04-30T16:45:00Z</dcterms:created>
  <dcterms:modified xsi:type="dcterms:W3CDTF">2026-04-30T16:45:00Z</dcterms:modified>
</cp:coreProperties>
</file>