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0E68" w14:textId="7FEAAF5B" w:rsidR="005437C7" w:rsidRPr="00BB50F7" w:rsidRDefault="005437C7" w:rsidP="0009450C">
      <w:pPr>
        <w:jc w:val="center"/>
        <w:rPr>
          <w:rFonts w:ascii="Calibri" w:hAnsi="Calibri" w:cs="Calibri"/>
          <w:b/>
          <w:bCs/>
        </w:rPr>
      </w:pPr>
      <w:r w:rsidRPr="00BB50F7">
        <w:rPr>
          <w:rFonts w:ascii="Calibri" w:hAnsi="Calibri" w:cs="Calibri"/>
          <w:b/>
          <w:bCs/>
        </w:rPr>
        <w:t xml:space="preserve">North Central Texas Council </w:t>
      </w:r>
      <w:r w:rsidR="0009450C" w:rsidRPr="00BB50F7">
        <w:rPr>
          <w:rFonts w:ascii="Calibri" w:hAnsi="Calibri" w:cs="Calibri"/>
          <w:b/>
          <w:bCs/>
        </w:rPr>
        <w:t>of</w:t>
      </w:r>
      <w:r w:rsidRPr="00BB50F7">
        <w:rPr>
          <w:rFonts w:ascii="Calibri" w:hAnsi="Calibri" w:cs="Calibri"/>
          <w:b/>
          <w:bCs/>
        </w:rPr>
        <w:t xml:space="preserve"> Governments</w:t>
      </w:r>
    </w:p>
    <w:p w14:paraId="7A27DE3A" w14:textId="77777777" w:rsidR="00A73532" w:rsidRPr="00BB50F7" w:rsidRDefault="00A73532" w:rsidP="0009450C">
      <w:pPr>
        <w:jc w:val="center"/>
        <w:rPr>
          <w:rFonts w:ascii="Calibri" w:hAnsi="Calibri" w:cs="Calibri"/>
          <w:b/>
          <w:bCs/>
        </w:rPr>
      </w:pPr>
    </w:p>
    <w:p w14:paraId="436B865F" w14:textId="77777777" w:rsidR="00C73DDD" w:rsidRPr="00BB50F7" w:rsidRDefault="00C73DDD" w:rsidP="0009450C">
      <w:pPr>
        <w:jc w:val="center"/>
        <w:rPr>
          <w:rFonts w:ascii="Calibri" w:hAnsi="Calibri" w:cs="Calibri"/>
          <w:b/>
          <w:bCs/>
        </w:rPr>
      </w:pPr>
    </w:p>
    <w:p w14:paraId="356D8BB9" w14:textId="1B00F873" w:rsidR="002533BB" w:rsidRDefault="005D72B6" w:rsidP="0009450C">
      <w:pPr>
        <w:jc w:val="center"/>
        <w:rPr>
          <w:rFonts w:ascii="Calibri" w:eastAsia="Times New Roman" w:hAnsi="Calibri" w:cs="Calibri"/>
          <w:b/>
          <w:bCs/>
          <w:sz w:val="56"/>
          <w:szCs w:val="56"/>
        </w:rPr>
      </w:pPr>
      <w:r w:rsidRPr="005D72B6">
        <w:rPr>
          <w:rFonts w:ascii="Calibri" w:eastAsia="Times New Roman" w:hAnsi="Calibri" w:cs="Calibri"/>
          <w:b/>
          <w:bCs/>
          <w:sz w:val="56"/>
          <w:szCs w:val="56"/>
        </w:rPr>
        <w:t>NCTCOG TECHNOLOGY PROJECT IDENTIFICATION (TPI) FRAMEWORK</w:t>
      </w:r>
    </w:p>
    <w:p w14:paraId="68433A46" w14:textId="77777777" w:rsidR="00E5660E" w:rsidRPr="00BB50F7" w:rsidRDefault="00E5660E" w:rsidP="0009450C">
      <w:pPr>
        <w:jc w:val="center"/>
        <w:rPr>
          <w:rFonts w:ascii="Calibri" w:eastAsia="Times New Roman" w:hAnsi="Calibri" w:cs="Calibri"/>
          <w:b/>
          <w:bCs/>
          <w:sz w:val="56"/>
          <w:szCs w:val="56"/>
        </w:rPr>
      </w:pPr>
    </w:p>
    <w:p w14:paraId="3DE1DCF6" w14:textId="67ADF439" w:rsidR="0009450C" w:rsidRPr="00BB50F7" w:rsidRDefault="00D93151" w:rsidP="0009450C">
      <w:pPr>
        <w:rPr>
          <w:rFonts w:ascii="Calibri" w:eastAsia="Times New Roman" w:hAnsi="Calibri" w:cs="Calibri"/>
          <w:sz w:val="22"/>
          <w:szCs w:val="22"/>
        </w:rPr>
      </w:pPr>
      <w:r>
        <w:rPr>
          <w:rFonts w:ascii="Calibri" w:eastAsia="Times New Roman" w:hAnsi="Calibri" w:cs="Calibri"/>
          <w:sz w:val="22"/>
          <w:szCs w:val="22"/>
        </w:rPr>
        <w:pict w14:anchorId="1CE6A622">
          <v:rect id="_x0000_i1027" style="width:0;height:1.5pt" o:hralign="center" o:bullet="t" o:hrstd="t" o:hr="t" fillcolor="#a0a0a0" stroked="f"/>
        </w:pict>
      </w:r>
    </w:p>
    <w:p w14:paraId="05AC8EA1" w14:textId="77777777" w:rsidR="002533BB" w:rsidRPr="00BB50F7" w:rsidRDefault="002533BB" w:rsidP="0009450C">
      <w:pPr>
        <w:rPr>
          <w:rFonts w:ascii="Calibri" w:eastAsia="Times New Roman" w:hAnsi="Calibri" w:cs="Calibri"/>
          <w:sz w:val="22"/>
          <w:szCs w:val="22"/>
        </w:rPr>
      </w:pPr>
    </w:p>
    <w:p w14:paraId="5DF74BB0" w14:textId="77777777" w:rsidR="002533BB" w:rsidRPr="00BB50F7" w:rsidRDefault="002533BB" w:rsidP="0009450C">
      <w:pPr>
        <w:pStyle w:val="NormalWeb"/>
        <w:jc w:val="center"/>
        <w:rPr>
          <w:rStyle w:val="Strong"/>
          <w:rFonts w:ascii="Calibri" w:hAnsi="Calibri" w:cs="Calibri"/>
        </w:rPr>
      </w:pPr>
    </w:p>
    <w:p w14:paraId="6A74DED0" w14:textId="57BEE0D5" w:rsidR="002533BB" w:rsidRPr="00BB50F7" w:rsidRDefault="005437C7" w:rsidP="00D73CF9">
      <w:pPr>
        <w:pStyle w:val="NormalWeb"/>
        <w:jc w:val="center"/>
        <w:rPr>
          <w:rStyle w:val="Strong"/>
          <w:rFonts w:ascii="Calibri" w:hAnsi="Calibri" w:cs="Calibri"/>
        </w:rPr>
      </w:pPr>
      <w:r w:rsidRPr="00BB50F7">
        <w:rPr>
          <w:rStyle w:val="Strong"/>
          <w:rFonts w:ascii="Calibri" w:hAnsi="Calibri" w:cs="Calibri"/>
        </w:rPr>
        <w:t>Application Information Packet</w:t>
      </w:r>
      <w:r w:rsidRPr="00BB50F7">
        <w:rPr>
          <w:rFonts w:ascii="Calibri" w:hAnsi="Calibri" w:cs="Calibri"/>
        </w:rPr>
        <w:br/>
      </w:r>
      <w:r w:rsidRPr="00BB50F7">
        <w:rPr>
          <w:rStyle w:val="Strong"/>
          <w:rFonts w:ascii="Calibri" w:hAnsi="Calibri" w:cs="Calibri"/>
        </w:rPr>
        <w:t xml:space="preserve">Applications Due: April </w:t>
      </w:r>
      <w:r w:rsidR="0018181B" w:rsidRPr="00BB50F7">
        <w:rPr>
          <w:rStyle w:val="Strong"/>
          <w:rFonts w:ascii="Calibri" w:hAnsi="Calibri" w:cs="Calibri"/>
        </w:rPr>
        <w:t xml:space="preserve">10, </w:t>
      </w:r>
      <w:r w:rsidRPr="00BB50F7">
        <w:rPr>
          <w:rStyle w:val="Strong"/>
          <w:rFonts w:ascii="Calibri" w:hAnsi="Calibri" w:cs="Calibri"/>
        </w:rPr>
        <w:t>2026</w:t>
      </w:r>
    </w:p>
    <w:p w14:paraId="03EA8FCC" w14:textId="77777777" w:rsidR="002533BB" w:rsidRPr="00BB50F7" w:rsidRDefault="002533BB" w:rsidP="0009450C">
      <w:pPr>
        <w:pStyle w:val="NormalWeb"/>
        <w:jc w:val="center"/>
        <w:rPr>
          <w:rStyle w:val="Strong"/>
          <w:rFonts w:ascii="Calibri" w:hAnsi="Calibri" w:cs="Calibri"/>
        </w:rPr>
      </w:pPr>
    </w:p>
    <w:p w14:paraId="32F64138" w14:textId="169EC441" w:rsidR="002533BB" w:rsidRDefault="007B3B6D" w:rsidP="00A97CDF">
      <w:pPr>
        <w:pStyle w:val="NormalWeb"/>
        <w:jc w:val="center"/>
        <w:rPr>
          <w:rFonts w:ascii="Calibri" w:hAnsi="Calibri" w:cs="Calibri"/>
        </w:rPr>
      </w:pPr>
      <w:r w:rsidRPr="00BB50F7">
        <w:rPr>
          <w:rFonts w:ascii="Calibri" w:hAnsi="Calibri" w:cs="Calibri"/>
          <w:noProof/>
        </w:rPr>
        <w:drawing>
          <wp:inline distT="0" distB="0" distL="0" distR="0" wp14:anchorId="3913C61F" wp14:editId="2109B9E1">
            <wp:extent cx="5380006" cy="35883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alphaModFix amt="71000"/>
                      <a:extLst>
                        <a:ext uri="{28A0092B-C50C-407E-A947-70E740481C1C}">
                          <a14:useLocalDpi xmlns:a14="http://schemas.microsoft.com/office/drawing/2010/main" val="0"/>
                        </a:ext>
                      </a:extLst>
                    </a:blip>
                    <a:stretch>
                      <a:fillRect/>
                    </a:stretch>
                  </pic:blipFill>
                  <pic:spPr bwMode="auto">
                    <a:xfrm>
                      <a:off x="0" y="0"/>
                      <a:ext cx="5380006" cy="3588363"/>
                    </a:xfrm>
                    <a:prstGeom prst="rect">
                      <a:avLst/>
                    </a:prstGeom>
                    <a:solidFill>
                      <a:schemeClr val="accent1">
                        <a:alpha val="5000"/>
                      </a:schemeClr>
                    </a:solidFill>
                    <a:ln>
                      <a:noFill/>
                    </a:ln>
                  </pic:spPr>
                </pic:pic>
              </a:graphicData>
            </a:graphic>
          </wp:inline>
        </w:drawing>
      </w:r>
    </w:p>
    <w:p w14:paraId="2E5B4AA3" w14:textId="77777777" w:rsidR="00E5660E" w:rsidRPr="00BB50F7" w:rsidRDefault="00E5660E" w:rsidP="00A97CDF">
      <w:pPr>
        <w:pStyle w:val="NormalWeb"/>
        <w:jc w:val="center"/>
        <w:rPr>
          <w:rFonts w:ascii="Calibri" w:hAnsi="Calibri" w:cs="Calibri"/>
        </w:rPr>
      </w:pPr>
    </w:p>
    <w:p w14:paraId="25A7F23F" w14:textId="77777777" w:rsidR="005437C7" w:rsidRPr="00BB50F7" w:rsidRDefault="00D93151">
      <w:pPr>
        <w:rPr>
          <w:rFonts w:ascii="Calibri" w:eastAsia="Times New Roman" w:hAnsi="Calibri" w:cs="Calibri"/>
        </w:rPr>
      </w:pPr>
      <w:r>
        <w:rPr>
          <w:rFonts w:ascii="Calibri" w:eastAsia="Times New Roman" w:hAnsi="Calibri" w:cs="Calibri"/>
        </w:rPr>
        <w:pict w14:anchorId="16C1637A">
          <v:rect id="_x0000_i1028" style="width:0;height:1.5pt" o:hralign="center" o:bullet="t" o:hrstd="t" o:hr="t" fillcolor="#a0a0a0" stroked="f"/>
        </w:pict>
      </w:r>
    </w:p>
    <w:p w14:paraId="370530D5" w14:textId="1BF691F8" w:rsidR="005437C7" w:rsidRPr="00BB50F7" w:rsidRDefault="00E5660E" w:rsidP="00E3420C">
      <w:pPr>
        <w:jc w:val="both"/>
        <w:divId w:val="509612638"/>
        <w:rPr>
          <w:rFonts w:ascii="Calibri" w:eastAsia="Times New Roman" w:hAnsi="Calibri" w:cs="Calibri"/>
        </w:rPr>
      </w:pPr>
      <w:r w:rsidRPr="00E5660E">
        <w:rPr>
          <w:rFonts w:ascii="Calibri" w:eastAsia="Times New Roman" w:hAnsi="Calibri" w:cs="Calibri"/>
        </w:rPr>
        <w:t>This Technology Project Identification (TPI) Framework Information Packet contains information on the type of program, background, funding structure, eligible recipients, eligible activities, evaluation criteria, application process, and schedule.</w:t>
      </w:r>
      <w:r w:rsidR="005437C7" w:rsidRPr="00BB50F7">
        <w:rPr>
          <w:rFonts w:ascii="Calibri" w:eastAsia="Times New Roman" w:hAnsi="Calibri" w:cs="Calibri"/>
        </w:rPr>
        <w:t xml:space="preserve"> </w:t>
      </w:r>
    </w:p>
    <w:p w14:paraId="7350C298" w14:textId="77777777" w:rsidR="005437C7" w:rsidRPr="00BB50F7" w:rsidRDefault="005437C7">
      <w:pPr>
        <w:divId w:val="1038168288"/>
        <w:rPr>
          <w:rFonts w:ascii="Calibri" w:eastAsia="Times New Roman" w:hAnsi="Calibri" w:cs="Calibri"/>
          <w:b/>
          <w:bCs/>
        </w:rPr>
      </w:pPr>
      <w:r w:rsidRPr="00BB50F7">
        <w:rPr>
          <w:rFonts w:ascii="Calibri" w:eastAsia="Times New Roman" w:hAnsi="Calibri" w:cs="Calibri"/>
          <w:b/>
          <w:bCs/>
        </w:rPr>
        <w:lastRenderedPageBreak/>
        <w:t>INTRODUCTION</w:t>
      </w:r>
    </w:p>
    <w:p w14:paraId="7C4648B0" w14:textId="6B06335D" w:rsidR="005437C7" w:rsidRPr="00BB50F7" w:rsidRDefault="00FB7E89" w:rsidP="00B03639">
      <w:pPr>
        <w:pStyle w:val="NormalWeb"/>
        <w:jc w:val="both"/>
        <w:rPr>
          <w:rFonts w:ascii="Calibri" w:hAnsi="Calibri" w:cs="Calibri"/>
        </w:rPr>
      </w:pPr>
      <w:r w:rsidRPr="00FB7E89">
        <w:rPr>
          <w:rFonts w:ascii="Calibri" w:hAnsi="Calibri" w:cs="Calibri"/>
        </w:rPr>
        <w:t>The North Central Texas Council of Governments (NCTCOG) Technology and Innovation Program is implementing a new Technology Project Identification (TPI) Framework that provides approximately $8,700,000 in Surface Transportation Block Grant Program (STBG) funding to support connected, automated, and emerging transportation technologies within the North Central Texas region. This framework establishes</w:t>
      </w:r>
      <w:r w:rsidR="008D3AEA">
        <w:rPr>
          <w:rFonts w:ascii="Calibri" w:hAnsi="Calibri" w:cs="Calibri"/>
        </w:rPr>
        <w:t xml:space="preserve"> a</w:t>
      </w:r>
      <w:r w:rsidRPr="00FB7E89">
        <w:rPr>
          <w:rFonts w:ascii="Calibri" w:hAnsi="Calibri" w:cs="Calibri"/>
        </w:rPr>
        <w:t xml:space="preserve"> criteria-based </w:t>
      </w:r>
      <w:r w:rsidR="00055132">
        <w:rPr>
          <w:rFonts w:ascii="Calibri" w:hAnsi="Calibri" w:cs="Calibri"/>
        </w:rPr>
        <w:t>process</w:t>
      </w:r>
      <w:r w:rsidRPr="00FB7E89">
        <w:rPr>
          <w:rFonts w:ascii="Calibri" w:hAnsi="Calibri" w:cs="Calibri"/>
        </w:rPr>
        <w:t xml:space="preserve"> for agencies to submit, evaluate, and advance innovative technology concepts.</w:t>
      </w:r>
    </w:p>
    <w:p w14:paraId="198EB8E6" w14:textId="0FD42BD1" w:rsidR="001E7FD2" w:rsidRPr="00BB50F7" w:rsidRDefault="001E1D7D" w:rsidP="00B03639">
      <w:pPr>
        <w:spacing w:before="100" w:beforeAutospacing="1" w:after="100" w:afterAutospacing="1"/>
        <w:jc w:val="both"/>
        <w:rPr>
          <w:rFonts w:ascii="Calibri" w:eastAsia="Times New Roman" w:hAnsi="Calibri" w:cs="Calibri"/>
        </w:rPr>
      </w:pPr>
      <w:r w:rsidRPr="00BB50F7">
        <w:rPr>
          <w:rFonts w:ascii="Calibri" w:hAnsi="Calibri" w:cs="Calibri"/>
        </w:rPr>
        <w:t xml:space="preserve">To be considered for funding, the submitting agency must be a regional public-sector partner agency in the </w:t>
      </w:r>
      <w:r w:rsidR="00735BD9" w:rsidRPr="00BB50F7">
        <w:rPr>
          <w:rFonts w:ascii="Calibri" w:hAnsi="Calibri" w:cs="Calibri"/>
        </w:rPr>
        <w:t xml:space="preserve">12 counties </w:t>
      </w:r>
      <w:r w:rsidR="000A1E8B" w:rsidRPr="00BB50F7">
        <w:rPr>
          <w:rFonts w:ascii="Calibri" w:hAnsi="Calibri" w:cs="Calibri"/>
        </w:rPr>
        <w:t xml:space="preserve">MPO </w:t>
      </w:r>
      <w:r w:rsidRPr="00BB50F7">
        <w:rPr>
          <w:rFonts w:ascii="Calibri" w:hAnsi="Calibri" w:cs="Calibri"/>
        </w:rPr>
        <w:t>nonattainment area: Collin, Dallas, Denton, Ellis, Hood, Hunt, Johnson, Kaufman, Parker, Rockwall, Tarrant, and Wise Counties (</w:t>
      </w:r>
      <w:r w:rsidR="003C2D2A">
        <w:rPr>
          <w:rFonts w:ascii="Calibri" w:hAnsi="Calibri" w:cs="Calibri"/>
        </w:rPr>
        <w:t>S</w:t>
      </w:r>
      <w:r w:rsidRPr="00BB50F7">
        <w:rPr>
          <w:rFonts w:ascii="Calibri" w:hAnsi="Calibri" w:cs="Calibri"/>
        </w:rPr>
        <w:t>ee map below)</w:t>
      </w:r>
      <w:r w:rsidR="00A97CDF" w:rsidRPr="00BB50F7">
        <w:rPr>
          <w:rFonts w:ascii="Calibri" w:hAnsi="Calibri" w:cs="Calibri"/>
        </w:rPr>
        <w:t>.</w:t>
      </w:r>
    </w:p>
    <w:p w14:paraId="0EED39D1" w14:textId="6066B9D0" w:rsidR="002057E5" w:rsidRPr="00BB50F7" w:rsidRDefault="00E124F7" w:rsidP="00A97CDF">
      <w:pPr>
        <w:jc w:val="center"/>
        <w:divId w:val="822434242"/>
        <w:rPr>
          <w:rFonts w:ascii="Calibri" w:hAnsi="Calibri" w:cs="Calibri"/>
        </w:rPr>
      </w:pPr>
      <w:r w:rsidRPr="00BB50F7">
        <w:rPr>
          <w:rFonts w:ascii="Calibri" w:hAnsi="Calibri" w:cs="Calibri"/>
          <w:noProof/>
        </w:rPr>
        <w:drawing>
          <wp:inline distT="0" distB="0" distL="0" distR="0" wp14:anchorId="5FF34B55" wp14:editId="7C95FCA1">
            <wp:extent cx="5710687" cy="4432175"/>
            <wp:effectExtent l="0" t="0" r="4445" b="6985"/>
            <wp:docPr id="820735579" name="Picture 1" descr="A map of a large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35579" name="Picture 1" descr="A map of a large area&#10;&#10;Description automatically generated"/>
                    <pic:cNvPicPr/>
                  </pic:nvPicPr>
                  <pic:blipFill>
                    <a:blip r:embed="rId8"/>
                    <a:stretch>
                      <a:fillRect/>
                    </a:stretch>
                  </pic:blipFill>
                  <pic:spPr>
                    <a:xfrm>
                      <a:off x="0" y="0"/>
                      <a:ext cx="5809815" cy="4509110"/>
                    </a:xfrm>
                    <a:prstGeom prst="rect">
                      <a:avLst/>
                    </a:prstGeom>
                  </pic:spPr>
                </pic:pic>
              </a:graphicData>
            </a:graphic>
          </wp:inline>
        </w:drawing>
      </w:r>
    </w:p>
    <w:p w14:paraId="4E2B2994" w14:textId="77777777" w:rsidR="001E7FD2" w:rsidRDefault="001E7FD2">
      <w:pPr>
        <w:divId w:val="822434242"/>
        <w:rPr>
          <w:rFonts w:ascii="Calibri" w:hAnsi="Calibri" w:cs="Calibri"/>
        </w:rPr>
      </w:pPr>
    </w:p>
    <w:p w14:paraId="30A1E435" w14:textId="77777777" w:rsidR="00C0704F" w:rsidRPr="00BB50F7" w:rsidRDefault="00C0704F">
      <w:pPr>
        <w:divId w:val="822434242"/>
        <w:rPr>
          <w:rFonts w:ascii="Calibri" w:hAnsi="Calibri" w:cs="Calibri"/>
        </w:rPr>
      </w:pPr>
    </w:p>
    <w:p w14:paraId="73828AA0" w14:textId="195C8F2C" w:rsidR="005437C7" w:rsidRPr="00BB50F7" w:rsidRDefault="005437C7">
      <w:pPr>
        <w:divId w:val="822434242"/>
        <w:rPr>
          <w:rFonts w:ascii="Calibri" w:eastAsia="Times New Roman" w:hAnsi="Calibri" w:cs="Calibri"/>
          <w:b/>
          <w:bCs/>
        </w:rPr>
      </w:pPr>
      <w:r w:rsidRPr="00BB50F7">
        <w:rPr>
          <w:rFonts w:ascii="Calibri" w:eastAsia="Times New Roman" w:hAnsi="Calibri" w:cs="Calibri"/>
          <w:b/>
          <w:bCs/>
        </w:rPr>
        <w:t>BACKGROUND</w:t>
      </w:r>
    </w:p>
    <w:p w14:paraId="69338CD7" w14:textId="77777777" w:rsidR="00444456" w:rsidRDefault="00AC673C" w:rsidP="00513EED">
      <w:pPr>
        <w:pStyle w:val="NormalWeb"/>
        <w:jc w:val="both"/>
        <w:rPr>
          <w:rFonts w:ascii="Calibri" w:hAnsi="Calibri" w:cs="Calibri"/>
        </w:rPr>
      </w:pPr>
      <w:r w:rsidRPr="00AC673C">
        <w:rPr>
          <w:rFonts w:ascii="Calibri" w:hAnsi="Calibri" w:cs="Calibri"/>
        </w:rPr>
        <w:t>The Technology and Innovation Program supports the regional deployment of emerging transportation technologies that enhance safety, efficiency, connectivity, and overall mobility. Lessons learned from past and ongoing efforts (e.g. automated shuttles, connected vehicle corridors, broadband as transportation initiatives, and smart freight systems) helped inform and guide the development of the new Technology Project Identification Framework.</w:t>
      </w:r>
    </w:p>
    <w:p w14:paraId="4E1391DC" w14:textId="676001D7" w:rsidR="009D49DD" w:rsidRPr="00513EED" w:rsidRDefault="009D49DD" w:rsidP="00513EED">
      <w:pPr>
        <w:pStyle w:val="NormalWeb"/>
        <w:jc w:val="both"/>
        <w:rPr>
          <w:rFonts w:ascii="Calibri" w:hAnsi="Calibri" w:cs="Calibri"/>
        </w:rPr>
      </w:pPr>
      <w:r w:rsidRPr="009D49DD">
        <w:rPr>
          <w:rFonts w:ascii="Calibri" w:hAnsi="Calibri" w:cs="Calibri"/>
        </w:rPr>
        <w:lastRenderedPageBreak/>
        <w:t xml:space="preserve">The TPI Framework streamlines the way technology projects are identified and advanced by introducing a </w:t>
      </w:r>
      <w:r w:rsidR="005D4ADD" w:rsidRPr="009D49DD">
        <w:rPr>
          <w:rFonts w:ascii="Calibri" w:hAnsi="Calibri" w:cs="Calibri"/>
        </w:rPr>
        <w:t>three-step</w:t>
      </w:r>
      <w:r w:rsidRPr="009D49DD">
        <w:rPr>
          <w:rFonts w:ascii="Calibri" w:hAnsi="Calibri" w:cs="Calibri"/>
        </w:rPr>
        <w:t xml:space="preserve"> process:</w:t>
      </w:r>
    </w:p>
    <w:p w14:paraId="4FDB99F0" w14:textId="65545156" w:rsidR="005D4ADD" w:rsidRPr="00513EED" w:rsidRDefault="00513EED" w:rsidP="005D4ADD">
      <w:pPr>
        <w:pStyle w:val="NormalWeb"/>
        <w:numPr>
          <w:ilvl w:val="0"/>
          <w:numId w:val="14"/>
        </w:numPr>
        <w:rPr>
          <w:rFonts w:ascii="Calibri" w:hAnsi="Calibri" w:cs="Calibri"/>
        </w:rPr>
      </w:pPr>
      <w:r w:rsidRPr="00513EED">
        <w:rPr>
          <w:rFonts w:ascii="Calibri" w:hAnsi="Calibri" w:cs="Calibri"/>
          <w:b/>
          <w:bCs/>
        </w:rPr>
        <w:t>Idea Submission</w:t>
      </w:r>
      <w:r w:rsidR="00E7238A">
        <w:rPr>
          <w:rFonts w:ascii="Calibri" w:hAnsi="Calibri" w:cs="Calibri"/>
        </w:rPr>
        <w:t>:</w:t>
      </w:r>
      <w:r w:rsidRPr="00513EED">
        <w:rPr>
          <w:rFonts w:ascii="Calibri" w:hAnsi="Calibri" w:cs="Calibri"/>
        </w:rPr>
        <w:t xml:space="preserve"> </w:t>
      </w:r>
      <w:r w:rsidR="00A8069D" w:rsidRPr="00A8069D">
        <w:rPr>
          <w:rFonts w:ascii="Calibri" w:hAnsi="Calibri" w:cs="Calibri"/>
        </w:rPr>
        <w:t>Agencies submit project concepts that outline the purpose, scope, timing, and anticipated cost</w:t>
      </w:r>
      <w:r w:rsidRPr="00513EED">
        <w:rPr>
          <w:rFonts w:ascii="Calibri" w:hAnsi="Calibri" w:cs="Calibri"/>
        </w:rPr>
        <w:t xml:space="preserve"> </w:t>
      </w:r>
      <w:r w:rsidR="00A8069D">
        <w:rPr>
          <w:rFonts w:ascii="Calibri" w:hAnsi="Calibri" w:cs="Calibri"/>
        </w:rPr>
        <w:t>(</w:t>
      </w:r>
      <w:r w:rsidRPr="00513EED">
        <w:rPr>
          <w:rFonts w:ascii="Calibri" w:hAnsi="Calibri" w:cs="Calibri"/>
          <w:i/>
          <w:iCs/>
        </w:rPr>
        <w:t>how, what, when, and how much</w:t>
      </w:r>
      <w:r w:rsidR="005D4ADD">
        <w:rPr>
          <w:rFonts w:ascii="Calibri" w:hAnsi="Calibri" w:cs="Calibri"/>
        </w:rPr>
        <w:t>).</w:t>
      </w:r>
      <w:r w:rsidR="005D4ADD">
        <w:rPr>
          <w:rFonts w:ascii="Calibri" w:hAnsi="Calibri" w:cs="Calibri"/>
        </w:rPr>
        <w:br/>
      </w:r>
    </w:p>
    <w:p w14:paraId="1FD23179" w14:textId="6EC14EA5" w:rsidR="004E67D4" w:rsidRDefault="00513EED" w:rsidP="005D4ADD">
      <w:pPr>
        <w:pStyle w:val="NormalWeb"/>
        <w:numPr>
          <w:ilvl w:val="0"/>
          <w:numId w:val="14"/>
        </w:numPr>
        <w:rPr>
          <w:rFonts w:ascii="Calibri" w:hAnsi="Calibri" w:cs="Calibri"/>
        </w:rPr>
      </w:pPr>
      <w:r w:rsidRPr="00513EED">
        <w:rPr>
          <w:rFonts w:ascii="Calibri" w:hAnsi="Calibri" w:cs="Calibri"/>
          <w:b/>
          <w:bCs/>
        </w:rPr>
        <w:t>Evaluation &amp; Readiness Review</w:t>
      </w:r>
      <w:r w:rsidR="00E7238A" w:rsidRPr="004E67D4">
        <w:rPr>
          <w:rFonts w:ascii="Calibri" w:hAnsi="Calibri" w:cs="Calibri"/>
        </w:rPr>
        <w:t>:</w:t>
      </w:r>
      <w:r w:rsidRPr="00513EED">
        <w:rPr>
          <w:rFonts w:ascii="Calibri" w:hAnsi="Calibri" w:cs="Calibri"/>
        </w:rPr>
        <w:t xml:space="preserve"> </w:t>
      </w:r>
      <w:r w:rsidR="004E67D4" w:rsidRPr="004E67D4">
        <w:rPr>
          <w:rFonts w:ascii="Calibri" w:hAnsi="Calibri" w:cs="Calibri"/>
        </w:rPr>
        <w:t>Staff review each concept for eligibility, alignment with program goals, technical readiness, and overall feasibility.</w:t>
      </w:r>
      <w:r w:rsidR="005D4ADD">
        <w:rPr>
          <w:rFonts w:ascii="Calibri" w:hAnsi="Calibri" w:cs="Calibri"/>
        </w:rPr>
        <w:br/>
      </w:r>
    </w:p>
    <w:p w14:paraId="428A2ACF" w14:textId="0428E49A" w:rsidR="00513EED" w:rsidRPr="00513EED" w:rsidRDefault="00513EED" w:rsidP="005D4ADD">
      <w:pPr>
        <w:pStyle w:val="NormalWeb"/>
        <w:numPr>
          <w:ilvl w:val="0"/>
          <w:numId w:val="14"/>
        </w:numPr>
        <w:rPr>
          <w:rFonts w:ascii="Calibri" w:hAnsi="Calibri" w:cs="Calibri"/>
        </w:rPr>
      </w:pPr>
      <w:r w:rsidRPr="00513EED">
        <w:rPr>
          <w:rFonts w:ascii="Calibri" w:hAnsi="Calibri" w:cs="Calibri"/>
          <w:b/>
          <w:bCs/>
        </w:rPr>
        <w:t>Regional Procurement</w:t>
      </w:r>
      <w:r w:rsidR="00884B1A" w:rsidRPr="004E67D4">
        <w:rPr>
          <w:rFonts w:ascii="Calibri" w:hAnsi="Calibri" w:cs="Calibri"/>
        </w:rPr>
        <w:t>:</w:t>
      </w:r>
      <w:r w:rsidRPr="00513EED">
        <w:rPr>
          <w:rFonts w:ascii="Calibri" w:hAnsi="Calibri" w:cs="Calibri"/>
        </w:rPr>
        <w:t xml:space="preserve"> </w:t>
      </w:r>
      <w:r w:rsidR="00A8069D" w:rsidRPr="00A8069D">
        <w:rPr>
          <w:rFonts w:ascii="Calibri" w:hAnsi="Calibri" w:cs="Calibri"/>
        </w:rPr>
        <w:t xml:space="preserve">NCTCOG </w:t>
      </w:r>
      <w:proofErr w:type="gramStart"/>
      <w:r w:rsidR="00A8069D" w:rsidRPr="00A8069D">
        <w:rPr>
          <w:rFonts w:ascii="Calibri" w:hAnsi="Calibri" w:cs="Calibri"/>
        </w:rPr>
        <w:t>leads</w:t>
      </w:r>
      <w:proofErr w:type="gramEnd"/>
      <w:r w:rsidR="00A8069D" w:rsidRPr="00A8069D">
        <w:rPr>
          <w:rFonts w:ascii="Calibri" w:hAnsi="Calibri" w:cs="Calibri"/>
        </w:rPr>
        <w:t xml:space="preserve"> procurement for selected technologies to ensure consistency and achieve regional benefits.</w:t>
      </w:r>
    </w:p>
    <w:p w14:paraId="3E62D3FB" w14:textId="0A337D12" w:rsidR="00EF746E" w:rsidRDefault="00513EED" w:rsidP="00B03639">
      <w:pPr>
        <w:pStyle w:val="NormalWeb"/>
        <w:jc w:val="both"/>
        <w:rPr>
          <w:rFonts w:ascii="Calibri" w:hAnsi="Calibri" w:cs="Calibri"/>
        </w:rPr>
      </w:pPr>
      <w:r w:rsidRPr="00513EED">
        <w:rPr>
          <w:rFonts w:ascii="Calibri" w:hAnsi="Calibri" w:cs="Calibri"/>
        </w:rPr>
        <w:t xml:space="preserve">This </w:t>
      </w:r>
      <w:r w:rsidR="005D4ADD">
        <w:rPr>
          <w:rFonts w:ascii="Calibri" w:hAnsi="Calibri" w:cs="Calibri"/>
        </w:rPr>
        <w:t>process</w:t>
      </w:r>
      <w:r w:rsidRPr="00513EED">
        <w:rPr>
          <w:rFonts w:ascii="Calibri" w:hAnsi="Calibri" w:cs="Calibri"/>
        </w:rPr>
        <w:t xml:space="preserve"> ensures that </w:t>
      </w:r>
      <w:r w:rsidRPr="00513EED">
        <w:rPr>
          <w:rFonts w:ascii="Calibri" w:hAnsi="Calibri" w:cs="Calibri"/>
          <w:b/>
          <w:bCs/>
        </w:rPr>
        <w:t>regional funding is directed toward projects with measurable community benefits</w:t>
      </w:r>
      <w:r w:rsidRPr="00513EED">
        <w:rPr>
          <w:rFonts w:ascii="Calibri" w:hAnsi="Calibri" w:cs="Calibri"/>
        </w:rPr>
        <w:t>, strong readiness, and potential for regional scalability.</w:t>
      </w:r>
    </w:p>
    <w:p w14:paraId="55D95B77" w14:textId="457109E6" w:rsidR="00EF746E" w:rsidRDefault="00C7610E" w:rsidP="00E3420C">
      <w:pPr>
        <w:pStyle w:val="NormalWeb"/>
        <w:jc w:val="both"/>
        <w:rPr>
          <w:rFonts w:ascii="Calibri" w:eastAsia="Times New Roman" w:hAnsi="Calibri" w:cs="Calibri"/>
          <w:b/>
          <w:bCs/>
        </w:rPr>
      </w:pPr>
      <w:r w:rsidRPr="00C7610E">
        <w:rPr>
          <w:rFonts w:ascii="Calibri" w:eastAsia="Times New Roman" w:hAnsi="Calibri" w:cs="Calibri"/>
          <w:b/>
          <w:bCs/>
        </w:rPr>
        <w:t>EMPHASIS AREAS</w:t>
      </w:r>
    </w:p>
    <w:p w14:paraId="055F406E" w14:textId="1AF33293" w:rsidR="00C7610E" w:rsidRDefault="00C7610E" w:rsidP="00E3420C">
      <w:pPr>
        <w:pStyle w:val="NormalWeb"/>
        <w:jc w:val="both"/>
        <w:rPr>
          <w:rFonts w:ascii="Calibri" w:eastAsia="Times New Roman" w:hAnsi="Calibri" w:cs="Calibri"/>
        </w:rPr>
      </w:pPr>
      <w:r w:rsidRPr="00C7610E">
        <w:rPr>
          <w:rFonts w:ascii="Calibri" w:eastAsia="Times New Roman" w:hAnsi="Calibri" w:cs="Calibri"/>
        </w:rPr>
        <w:t>Project concepts submitted through the TPI Framework must align with one or more of the following emphasis areas</w:t>
      </w:r>
      <w:r>
        <w:rPr>
          <w:rFonts w:ascii="Calibri" w:eastAsia="Times New Roman" w:hAnsi="Calibri" w:cs="Calibri"/>
        </w:rPr>
        <w:t>:</w:t>
      </w:r>
    </w:p>
    <w:p w14:paraId="30E93651" w14:textId="0403D59A" w:rsidR="007D174B" w:rsidRDefault="00C7610E" w:rsidP="00547706">
      <w:pPr>
        <w:numPr>
          <w:ilvl w:val="0"/>
          <w:numId w:val="1"/>
        </w:numPr>
        <w:spacing w:before="100" w:beforeAutospacing="1" w:after="100" w:afterAutospacing="1"/>
        <w:rPr>
          <w:rFonts w:ascii="Calibri" w:eastAsia="Times New Roman" w:hAnsi="Calibri" w:cs="Calibri"/>
        </w:rPr>
      </w:pPr>
      <w:r w:rsidRPr="007D174B">
        <w:rPr>
          <w:rFonts w:ascii="Calibri" w:eastAsia="Times New Roman" w:hAnsi="Calibri" w:cs="Calibri"/>
          <w:b/>
          <w:bCs/>
        </w:rPr>
        <w:t>Roadway Safety Technologies</w:t>
      </w:r>
      <w:r w:rsidRPr="007D174B">
        <w:rPr>
          <w:rFonts w:ascii="Calibri" w:eastAsia="Times New Roman" w:hAnsi="Calibri" w:cs="Calibri"/>
        </w:rPr>
        <w:t xml:space="preserve">: </w:t>
      </w:r>
      <w:r w:rsidR="007D174B" w:rsidRPr="007D174B">
        <w:rPr>
          <w:rFonts w:ascii="Calibri" w:eastAsia="Times New Roman" w:hAnsi="Calibri" w:cs="Calibri"/>
        </w:rPr>
        <w:t xml:space="preserve">Deploying advanced tools that help protect pedestrians, cyclists, and other road users </w:t>
      </w:r>
      <w:r w:rsidR="007E0FB5">
        <w:rPr>
          <w:rFonts w:ascii="Calibri" w:eastAsia="Times New Roman" w:hAnsi="Calibri" w:cs="Calibri"/>
        </w:rPr>
        <w:t>such as</w:t>
      </w:r>
      <w:r w:rsidR="007D174B" w:rsidRPr="007D174B">
        <w:rPr>
          <w:rFonts w:ascii="Calibri" w:eastAsia="Times New Roman" w:hAnsi="Calibri" w:cs="Calibri"/>
        </w:rPr>
        <w:t xml:space="preserve"> connected warnings, speed management, and automated incident detection.</w:t>
      </w:r>
      <w:r w:rsidR="00E7238A">
        <w:rPr>
          <w:rFonts w:ascii="Calibri" w:eastAsia="Times New Roman" w:hAnsi="Calibri" w:cs="Calibri"/>
        </w:rPr>
        <w:br/>
      </w:r>
    </w:p>
    <w:p w14:paraId="1A710AF5" w14:textId="3D64A18F" w:rsidR="005A2971" w:rsidRPr="007D174B" w:rsidRDefault="005A2971" w:rsidP="00547706">
      <w:pPr>
        <w:numPr>
          <w:ilvl w:val="0"/>
          <w:numId w:val="1"/>
        </w:numPr>
        <w:spacing w:before="100" w:beforeAutospacing="1" w:after="100" w:afterAutospacing="1"/>
        <w:rPr>
          <w:rFonts w:ascii="Calibri" w:eastAsia="Times New Roman" w:hAnsi="Calibri" w:cs="Calibri"/>
        </w:rPr>
      </w:pPr>
      <w:r w:rsidRPr="007D174B">
        <w:rPr>
          <w:rFonts w:ascii="Calibri" w:eastAsia="Times New Roman" w:hAnsi="Calibri" w:cs="Calibri"/>
          <w:b/>
          <w:bCs/>
        </w:rPr>
        <w:t xml:space="preserve">Food Desert Elimination: </w:t>
      </w:r>
      <w:r w:rsidRPr="007D174B">
        <w:rPr>
          <w:rFonts w:ascii="Calibri" w:eastAsia="Times New Roman" w:hAnsi="Calibri" w:cs="Calibri"/>
        </w:rPr>
        <w:t>Expanding access to fresh</w:t>
      </w:r>
      <w:r w:rsidR="003C2D2A">
        <w:rPr>
          <w:rFonts w:ascii="Calibri" w:eastAsia="Times New Roman" w:hAnsi="Calibri" w:cs="Calibri"/>
        </w:rPr>
        <w:t xml:space="preserve"> </w:t>
      </w:r>
      <w:r w:rsidRPr="007D174B">
        <w:rPr>
          <w:rFonts w:ascii="Calibri" w:eastAsia="Times New Roman" w:hAnsi="Calibri" w:cs="Calibri"/>
        </w:rPr>
        <w:t>food through innovative mobility solutions</w:t>
      </w:r>
      <w:r w:rsidR="00C7610E" w:rsidRPr="007D174B">
        <w:rPr>
          <w:rFonts w:ascii="Calibri" w:eastAsia="Times New Roman" w:hAnsi="Calibri" w:cs="Calibri"/>
        </w:rPr>
        <w:t>.</w:t>
      </w:r>
      <w:r w:rsidR="00E7238A">
        <w:rPr>
          <w:rFonts w:ascii="Calibri" w:eastAsia="Times New Roman" w:hAnsi="Calibri" w:cs="Calibri"/>
        </w:rPr>
        <w:br/>
      </w:r>
    </w:p>
    <w:p w14:paraId="362C42F7" w14:textId="18797DFC" w:rsidR="00997D12" w:rsidRDefault="005A2971" w:rsidP="00715A7F">
      <w:pPr>
        <w:numPr>
          <w:ilvl w:val="0"/>
          <w:numId w:val="1"/>
        </w:numPr>
        <w:spacing w:before="100" w:beforeAutospacing="1" w:after="100" w:afterAutospacing="1"/>
        <w:rPr>
          <w:rFonts w:ascii="Calibri" w:eastAsia="Times New Roman" w:hAnsi="Calibri" w:cs="Calibri"/>
        </w:rPr>
      </w:pPr>
      <w:r w:rsidRPr="00997D12">
        <w:rPr>
          <w:rFonts w:ascii="Calibri" w:eastAsia="Times New Roman" w:hAnsi="Calibri" w:cs="Calibri"/>
          <w:b/>
          <w:bCs/>
        </w:rPr>
        <w:t>Delivery Bots &amp; Drones</w:t>
      </w:r>
      <w:r w:rsidRPr="00997D12">
        <w:rPr>
          <w:rFonts w:ascii="Calibri" w:eastAsia="Times New Roman" w:hAnsi="Calibri" w:cs="Calibri"/>
        </w:rPr>
        <w:t xml:space="preserve">: </w:t>
      </w:r>
      <w:r w:rsidR="00A37F31" w:rsidRPr="00A37F31">
        <w:rPr>
          <w:rFonts w:ascii="Calibri" w:eastAsia="Times New Roman" w:hAnsi="Calibri" w:cs="Calibri"/>
        </w:rPr>
        <w:t>Using small-scale autonomous delivery devices and unmanned aerial systems (UAS) to improve last-mile freight movement and reduce congestion.</w:t>
      </w:r>
      <w:r w:rsidR="00E7238A">
        <w:rPr>
          <w:rFonts w:ascii="Calibri" w:eastAsia="Times New Roman" w:hAnsi="Calibri" w:cs="Calibri"/>
        </w:rPr>
        <w:br/>
      </w:r>
    </w:p>
    <w:p w14:paraId="46818BDD" w14:textId="07E2F77B" w:rsidR="00BA28F9" w:rsidRDefault="005A2971" w:rsidP="00166088">
      <w:pPr>
        <w:numPr>
          <w:ilvl w:val="0"/>
          <w:numId w:val="1"/>
        </w:numPr>
        <w:spacing w:before="100" w:beforeAutospacing="1" w:after="100" w:afterAutospacing="1"/>
        <w:rPr>
          <w:rFonts w:ascii="Calibri" w:eastAsia="Times New Roman" w:hAnsi="Calibri" w:cs="Calibri"/>
        </w:rPr>
      </w:pPr>
      <w:r w:rsidRPr="00BA28F9">
        <w:rPr>
          <w:rFonts w:ascii="Calibri" w:eastAsia="Times New Roman" w:hAnsi="Calibri" w:cs="Calibri"/>
          <w:b/>
          <w:bCs/>
        </w:rPr>
        <w:t>Next-Gen Traffic Signals</w:t>
      </w:r>
      <w:r w:rsidRPr="00BA28F9">
        <w:rPr>
          <w:rFonts w:ascii="Calibri" w:eastAsia="Times New Roman" w:hAnsi="Calibri" w:cs="Calibri"/>
        </w:rPr>
        <w:t xml:space="preserve">: </w:t>
      </w:r>
      <w:r w:rsidR="00A37F31" w:rsidRPr="00BA28F9">
        <w:rPr>
          <w:rFonts w:ascii="Calibri" w:eastAsia="Times New Roman" w:hAnsi="Calibri" w:cs="Calibri"/>
        </w:rPr>
        <w:t>Smart</w:t>
      </w:r>
      <w:r w:rsidR="009C2E76" w:rsidRPr="00BA28F9">
        <w:rPr>
          <w:rFonts w:ascii="Calibri" w:eastAsia="Times New Roman" w:hAnsi="Calibri" w:cs="Calibri"/>
        </w:rPr>
        <w:t xml:space="preserve"> signal control, transit priority, </w:t>
      </w:r>
      <w:r w:rsidR="00BA28F9" w:rsidRPr="00BA28F9">
        <w:rPr>
          <w:rFonts w:ascii="Calibri" w:eastAsia="Times New Roman" w:hAnsi="Calibri" w:cs="Calibri"/>
        </w:rPr>
        <w:t>and connected intersection systems to enhance traffic flow and safety.</w:t>
      </w:r>
      <w:r w:rsidR="00E7238A">
        <w:rPr>
          <w:rFonts w:ascii="Calibri" w:eastAsia="Times New Roman" w:hAnsi="Calibri" w:cs="Calibri"/>
        </w:rPr>
        <w:br/>
      </w:r>
    </w:p>
    <w:p w14:paraId="48D536BE" w14:textId="5AC7F353" w:rsidR="00D62884" w:rsidRPr="00D62884" w:rsidRDefault="005A2971" w:rsidP="00D62884">
      <w:pPr>
        <w:numPr>
          <w:ilvl w:val="0"/>
          <w:numId w:val="1"/>
        </w:numPr>
        <w:spacing w:before="100" w:beforeAutospacing="1" w:after="100" w:afterAutospacing="1"/>
        <w:rPr>
          <w:rFonts w:ascii="Calibri" w:hAnsi="Calibri" w:cs="Calibri"/>
          <w:b/>
          <w:bCs/>
        </w:rPr>
      </w:pPr>
      <w:r w:rsidRPr="001963E7">
        <w:rPr>
          <w:rFonts w:ascii="Calibri" w:eastAsia="Times New Roman" w:hAnsi="Calibri" w:cs="Calibri"/>
          <w:b/>
          <w:bCs/>
        </w:rPr>
        <w:t>Autonomous Shuttles</w:t>
      </w:r>
      <w:r w:rsidRPr="001963E7">
        <w:rPr>
          <w:rFonts w:ascii="Calibri" w:eastAsia="Times New Roman" w:hAnsi="Calibri" w:cs="Calibri"/>
        </w:rPr>
        <w:t xml:space="preserve">: </w:t>
      </w:r>
      <w:r w:rsidR="001963E7" w:rsidRPr="001963E7">
        <w:rPr>
          <w:rFonts w:ascii="Calibri" w:eastAsia="Times New Roman" w:hAnsi="Calibri" w:cs="Calibri"/>
        </w:rPr>
        <w:t xml:space="preserve">Providing </w:t>
      </w:r>
      <w:r w:rsidR="00333FE6">
        <w:rPr>
          <w:rFonts w:ascii="Calibri" w:eastAsia="Times New Roman" w:hAnsi="Calibri" w:cs="Calibri"/>
        </w:rPr>
        <w:t xml:space="preserve">low-speed </w:t>
      </w:r>
      <w:r w:rsidR="001963E7" w:rsidRPr="001963E7">
        <w:rPr>
          <w:rFonts w:ascii="Calibri" w:eastAsia="Times New Roman" w:hAnsi="Calibri" w:cs="Calibri"/>
        </w:rPr>
        <w:t xml:space="preserve">automated shuttle services for first/last-mile connections and circulation within campuses and neighborhoods. </w:t>
      </w:r>
      <w:r w:rsidR="00905964" w:rsidRPr="00905964">
        <w:rPr>
          <w:rFonts w:ascii="Calibri" w:eastAsia="Times New Roman" w:hAnsi="Calibri" w:cs="Calibri"/>
        </w:rPr>
        <w:t xml:space="preserve">Higher-speed </w:t>
      </w:r>
      <w:r w:rsidR="002B3111" w:rsidRPr="001963E7">
        <w:rPr>
          <w:rFonts w:ascii="Calibri" w:eastAsia="Times New Roman" w:hAnsi="Calibri" w:cs="Calibri"/>
        </w:rPr>
        <w:t xml:space="preserve">automated </w:t>
      </w:r>
      <w:r w:rsidR="0029582C">
        <w:rPr>
          <w:rFonts w:ascii="Calibri" w:eastAsia="Times New Roman" w:hAnsi="Calibri" w:cs="Calibri"/>
        </w:rPr>
        <w:t>shuttles</w:t>
      </w:r>
      <w:r w:rsidR="00905964" w:rsidRPr="00905964">
        <w:rPr>
          <w:rFonts w:ascii="Calibri" w:eastAsia="Times New Roman" w:hAnsi="Calibri" w:cs="Calibri"/>
        </w:rPr>
        <w:t xml:space="preserve"> </w:t>
      </w:r>
      <w:r w:rsidR="00FC5065">
        <w:rPr>
          <w:rFonts w:ascii="Calibri" w:eastAsia="Times New Roman" w:hAnsi="Calibri" w:cs="Calibri"/>
        </w:rPr>
        <w:t>are</w:t>
      </w:r>
      <w:r w:rsidR="00905964" w:rsidRPr="00905964">
        <w:rPr>
          <w:rFonts w:ascii="Calibri" w:eastAsia="Times New Roman" w:hAnsi="Calibri" w:cs="Calibri"/>
        </w:rPr>
        <w:t xml:space="preserve"> eligible but will require additional safety review.</w:t>
      </w:r>
      <w:r w:rsidR="00D62884">
        <w:rPr>
          <w:rFonts w:ascii="Calibri" w:hAnsi="Calibri" w:cs="Calibri"/>
          <w:b/>
          <w:bCs/>
        </w:rPr>
        <w:br/>
      </w:r>
    </w:p>
    <w:p w14:paraId="7BAD1131" w14:textId="77777777" w:rsidR="00E727C3" w:rsidRDefault="00581BF2" w:rsidP="003C5AD3">
      <w:pPr>
        <w:spacing w:before="100" w:beforeAutospacing="1" w:after="100" w:afterAutospacing="1"/>
        <w:rPr>
          <w:rFonts w:ascii="Calibri" w:hAnsi="Calibri" w:cs="Calibri"/>
          <w:b/>
          <w:bCs/>
        </w:rPr>
      </w:pPr>
      <w:r w:rsidRPr="001963E7">
        <w:rPr>
          <w:rFonts w:ascii="Calibri" w:hAnsi="Calibri" w:cs="Calibri"/>
          <w:b/>
          <w:bCs/>
        </w:rPr>
        <w:t>GENERAL GUIDELINES</w:t>
      </w:r>
    </w:p>
    <w:p w14:paraId="730B4046" w14:textId="4E0F82C8" w:rsidR="00E727C3" w:rsidRPr="000A606B" w:rsidRDefault="00E727C3" w:rsidP="00E72B82">
      <w:pPr>
        <w:pStyle w:val="NormalWeb"/>
        <w:numPr>
          <w:ilvl w:val="0"/>
          <w:numId w:val="6"/>
        </w:numPr>
        <w:rPr>
          <w:rFonts w:ascii="Calibri" w:hAnsi="Calibri" w:cs="Calibri"/>
        </w:rPr>
      </w:pPr>
      <w:r w:rsidRPr="00BB50F7">
        <w:rPr>
          <w:rFonts w:ascii="Calibri" w:hAnsi="Calibri" w:cs="Calibri"/>
          <w:b/>
          <w:bCs/>
        </w:rPr>
        <w:t>There is no limitation on the number of project proposals submitted by an eligible agency.</w:t>
      </w:r>
      <w:r w:rsidRPr="00BB50F7">
        <w:rPr>
          <w:rFonts w:ascii="Calibri" w:hAnsi="Calibri" w:cs="Calibri"/>
        </w:rPr>
        <w:t xml:space="preserve"> However, agencies submitting more than one project must rank the projects by priority and specify the fiscal year in which each project will occur</w:t>
      </w:r>
      <w:r>
        <w:rPr>
          <w:rFonts w:ascii="Calibri" w:hAnsi="Calibri" w:cs="Calibri"/>
        </w:rPr>
        <w:t>.</w:t>
      </w:r>
      <w:r w:rsidR="000A606B">
        <w:rPr>
          <w:rFonts w:ascii="Calibri" w:hAnsi="Calibri" w:cs="Calibri"/>
        </w:rPr>
        <w:br/>
      </w:r>
    </w:p>
    <w:p w14:paraId="547B4DB3" w14:textId="66CE7533" w:rsidR="007C5B99" w:rsidRPr="008712A7" w:rsidRDefault="007C5B99" w:rsidP="00E72B82">
      <w:pPr>
        <w:pStyle w:val="NormalWeb"/>
        <w:numPr>
          <w:ilvl w:val="0"/>
          <w:numId w:val="6"/>
        </w:numPr>
        <w:rPr>
          <w:rFonts w:ascii="Calibri" w:hAnsi="Calibri" w:cs="Calibri"/>
        </w:rPr>
      </w:pPr>
      <w:r w:rsidRPr="008712A7">
        <w:rPr>
          <w:rFonts w:ascii="Calibri" w:hAnsi="Calibri" w:cs="Calibri"/>
        </w:rPr>
        <w:t xml:space="preserve">Maximum award amount per project is </w:t>
      </w:r>
      <w:r w:rsidRPr="00557295">
        <w:rPr>
          <w:rFonts w:ascii="Calibri" w:hAnsi="Calibri" w:cs="Calibri"/>
          <w:b/>
          <w:bCs/>
        </w:rPr>
        <w:t>$3 Million</w:t>
      </w:r>
      <w:r w:rsidRPr="008712A7">
        <w:rPr>
          <w:rFonts w:ascii="Calibri" w:hAnsi="Calibri" w:cs="Calibri"/>
        </w:rPr>
        <w:t>.</w:t>
      </w:r>
      <w:r w:rsidR="008712A7">
        <w:rPr>
          <w:rFonts w:ascii="Calibri" w:hAnsi="Calibri" w:cs="Calibri"/>
        </w:rPr>
        <w:br/>
      </w:r>
    </w:p>
    <w:p w14:paraId="0E42F619" w14:textId="6F37A83E" w:rsidR="00581BF2" w:rsidRPr="00BB50F7" w:rsidRDefault="0024598E" w:rsidP="00E72B82">
      <w:pPr>
        <w:pStyle w:val="NormalWeb"/>
        <w:numPr>
          <w:ilvl w:val="0"/>
          <w:numId w:val="6"/>
        </w:numPr>
        <w:rPr>
          <w:rFonts w:ascii="Calibri" w:hAnsi="Calibri" w:cs="Calibri"/>
        </w:rPr>
      </w:pPr>
      <w:r>
        <w:rPr>
          <w:rFonts w:ascii="Calibri" w:hAnsi="Calibri" w:cs="Calibri"/>
          <w:b/>
          <w:bCs/>
        </w:rPr>
        <w:lastRenderedPageBreak/>
        <w:t xml:space="preserve">The </w:t>
      </w:r>
      <w:r w:rsidR="00557295" w:rsidRPr="00557295">
        <w:rPr>
          <w:rFonts w:ascii="Calibri" w:hAnsi="Calibri" w:cs="Calibri"/>
          <w:b/>
          <w:bCs/>
        </w:rPr>
        <w:t xml:space="preserve">NCTCOG </w:t>
      </w:r>
      <w:r w:rsidR="00570D50" w:rsidRPr="00557295">
        <w:rPr>
          <w:rFonts w:ascii="Calibri" w:hAnsi="Calibri" w:cs="Calibri"/>
          <w:b/>
          <w:bCs/>
        </w:rPr>
        <w:t xml:space="preserve">Technology Project Identification (TPI) </w:t>
      </w:r>
      <w:r w:rsidR="00811333">
        <w:rPr>
          <w:rFonts w:ascii="Calibri" w:hAnsi="Calibri" w:cs="Calibri"/>
          <w:b/>
          <w:bCs/>
        </w:rPr>
        <w:t>Call for Ideas</w:t>
      </w:r>
      <w:r w:rsidR="00570D50" w:rsidRPr="00BB50F7">
        <w:rPr>
          <w:rFonts w:ascii="Calibri" w:hAnsi="Calibri" w:cs="Calibri"/>
          <w:b/>
          <w:bCs/>
        </w:rPr>
        <w:t xml:space="preserve"> </w:t>
      </w:r>
      <w:r w:rsidR="00581BF2" w:rsidRPr="00BB50F7">
        <w:rPr>
          <w:rFonts w:ascii="Calibri" w:hAnsi="Calibri" w:cs="Calibri"/>
          <w:b/>
          <w:bCs/>
        </w:rPr>
        <w:t>is a cost reimbursement program (not a grant).</w:t>
      </w:r>
      <w:r w:rsidR="00581BF2" w:rsidRPr="00BB50F7">
        <w:rPr>
          <w:rFonts w:ascii="Calibri" w:hAnsi="Calibri" w:cs="Calibri"/>
        </w:rPr>
        <w:t xml:space="preserve"> Applicants must have sufficient cash flow to accommodate the payment of 100</w:t>
      </w:r>
      <w:r w:rsidR="00CD1E6F">
        <w:rPr>
          <w:rFonts w:ascii="Calibri" w:hAnsi="Calibri" w:cs="Calibri"/>
        </w:rPr>
        <w:t xml:space="preserve"> </w:t>
      </w:r>
      <w:r w:rsidR="00CD1E6F" w:rsidRPr="00BB50F7">
        <w:rPr>
          <w:rFonts w:ascii="Calibri" w:hAnsi="Calibri" w:cs="Calibri"/>
          <w:iCs/>
        </w:rPr>
        <w:t>percent</w:t>
      </w:r>
      <w:r>
        <w:rPr>
          <w:rFonts w:ascii="Calibri" w:hAnsi="Calibri" w:cs="Calibri"/>
        </w:rPr>
        <w:t xml:space="preserve"> </w:t>
      </w:r>
      <w:r w:rsidR="00581BF2" w:rsidRPr="00BB50F7">
        <w:rPr>
          <w:rFonts w:ascii="Calibri" w:hAnsi="Calibri" w:cs="Calibri"/>
        </w:rPr>
        <w:t xml:space="preserve">of project costs. Reimbursement will occur after appropriate documentation is submitted to </w:t>
      </w:r>
      <w:r w:rsidR="00CF632F">
        <w:rPr>
          <w:rFonts w:ascii="Calibri" w:hAnsi="Calibri" w:cs="Calibri"/>
        </w:rPr>
        <w:t>NCTCOG</w:t>
      </w:r>
      <w:r w:rsidR="007C5B99">
        <w:rPr>
          <w:rFonts w:ascii="Calibri" w:hAnsi="Calibri" w:cs="Calibri"/>
        </w:rPr>
        <w:t>.</w:t>
      </w:r>
      <w:r w:rsidR="00EC66ED" w:rsidRPr="00BB50F7">
        <w:rPr>
          <w:rFonts w:ascii="Calibri" w:hAnsi="Calibri" w:cs="Calibri"/>
        </w:rPr>
        <w:br/>
      </w:r>
    </w:p>
    <w:p w14:paraId="39E7DF3F" w14:textId="0B048E24" w:rsidR="00581BF2" w:rsidRPr="00BB50F7" w:rsidRDefault="00581BF2" w:rsidP="00E72B82">
      <w:pPr>
        <w:pStyle w:val="NormalWeb"/>
        <w:numPr>
          <w:ilvl w:val="0"/>
          <w:numId w:val="6"/>
        </w:numPr>
        <w:rPr>
          <w:rFonts w:ascii="Calibri" w:hAnsi="Calibri" w:cs="Calibri"/>
          <w:b/>
          <w:bCs/>
        </w:rPr>
      </w:pPr>
      <w:r w:rsidRPr="00BB50F7">
        <w:rPr>
          <w:rFonts w:ascii="Calibri" w:hAnsi="Calibri" w:cs="Calibri"/>
          <w:b/>
          <w:bCs/>
        </w:rPr>
        <w:t xml:space="preserve">Project activities must be completed </w:t>
      </w:r>
      <w:r w:rsidR="007C5B99">
        <w:rPr>
          <w:rFonts w:ascii="Calibri" w:hAnsi="Calibri" w:cs="Calibri"/>
          <w:b/>
          <w:bCs/>
        </w:rPr>
        <w:t xml:space="preserve">by December 31, </w:t>
      </w:r>
      <w:proofErr w:type="gramStart"/>
      <w:r w:rsidR="007C5B99">
        <w:rPr>
          <w:rFonts w:ascii="Calibri" w:hAnsi="Calibri" w:cs="Calibri"/>
          <w:b/>
          <w:bCs/>
        </w:rPr>
        <w:t>202</w:t>
      </w:r>
      <w:r w:rsidR="00AF4834">
        <w:rPr>
          <w:rFonts w:ascii="Calibri" w:hAnsi="Calibri" w:cs="Calibri"/>
          <w:b/>
          <w:bCs/>
        </w:rPr>
        <w:t>8</w:t>
      </w:r>
      <w:proofErr w:type="gramEnd"/>
      <w:r w:rsidRPr="00BB50F7">
        <w:rPr>
          <w:rFonts w:ascii="Calibri" w:hAnsi="Calibri" w:cs="Calibri"/>
          <w:b/>
          <w:bCs/>
        </w:rPr>
        <w:t xml:space="preserve"> or risk the loss of funding</w:t>
      </w:r>
      <w:r w:rsidR="007C5B99">
        <w:rPr>
          <w:rFonts w:ascii="Calibri" w:hAnsi="Calibri" w:cs="Calibri"/>
          <w:b/>
          <w:bCs/>
        </w:rPr>
        <w:t>.</w:t>
      </w:r>
      <w:r w:rsidR="00EC66ED" w:rsidRPr="00BB50F7">
        <w:rPr>
          <w:rFonts w:ascii="Calibri" w:hAnsi="Calibri" w:cs="Calibri"/>
          <w:b/>
          <w:bCs/>
        </w:rPr>
        <w:br/>
      </w:r>
    </w:p>
    <w:p w14:paraId="0F6C3647" w14:textId="1005AB25" w:rsidR="00581BF2" w:rsidRPr="00BB50F7" w:rsidRDefault="00581BF2" w:rsidP="00E72B82">
      <w:pPr>
        <w:pStyle w:val="NormalWeb"/>
        <w:numPr>
          <w:ilvl w:val="0"/>
          <w:numId w:val="6"/>
        </w:numPr>
        <w:rPr>
          <w:rFonts w:ascii="Calibri" w:hAnsi="Calibri" w:cs="Calibri"/>
          <w:b/>
          <w:bCs/>
        </w:rPr>
      </w:pPr>
      <w:r w:rsidRPr="00BB50F7">
        <w:rPr>
          <w:rFonts w:ascii="Calibri" w:hAnsi="Calibri" w:cs="Calibri"/>
          <w:b/>
          <w:bCs/>
        </w:rPr>
        <w:t xml:space="preserve">The agency receiving the award is responsible for </w:t>
      </w:r>
      <w:r w:rsidR="00243FAD" w:rsidRPr="00BB50F7">
        <w:rPr>
          <w:rFonts w:ascii="Calibri" w:hAnsi="Calibri" w:cs="Calibri"/>
          <w:b/>
          <w:bCs/>
        </w:rPr>
        <w:t>all</w:t>
      </w:r>
      <w:r w:rsidRPr="00BB50F7">
        <w:rPr>
          <w:rFonts w:ascii="Calibri" w:hAnsi="Calibri" w:cs="Calibri"/>
          <w:b/>
          <w:bCs/>
        </w:rPr>
        <w:t xml:space="preserve"> cost overruns</w:t>
      </w:r>
      <w:r w:rsidR="007C5B99">
        <w:rPr>
          <w:rFonts w:ascii="Calibri" w:hAnsi="Calibri" w:cs="Calibri"/>
          <w:b/>
          <w:bCs/>
        </w:rPr>
        <w:t>.</w:t>
      </w:r>
      <w:r w:rsidR="00EC66ED" w:rsidRPr="00BB50F7">
        <w:rPr>
          <w:rFonts w:ascii="Calibri" w:hAnsi="Calibri" w:cs="Calibri"/>
          <w:b/>
          <w:bCs/>
        </w:rPr>
        <w:br/>
      </w:r>
    </w:p>
    <w:p w14:paraId="4C1DBA55" w14:textId="77777777" w:rsidR="00E72B82" w:rsidRDefault="007C2AFF" w:rsidP="00E72B82">
      <w:pPr>
        <w:pStyle w:val="Default"/>
        <w:numPr>
          <w:ilvl w:val="0"/>
          <w:numId w:val="6"/>
        </w:numPr>
        <w:jc w:val="both"/>
        <w:rPr>
          <w:rFonts w:ascii="Calibri" w:hAnsi="Calibri" w:cs="Calibri"/>
          <w:b/>
          <w:bCs/>
          <w:iCs/>
        </w:rPr>
      </w:pPr>
      <w:r w:rsidRPr="00BB50F7">
        <w:rPr>
          <w:rFonts w:ascii="Calibri" w:hAnsi="Calibri" w:cs="Calibri"/>
          <w:b/>
          <w:bCs/>
          <w:iCs/>
        </w:rPr>
        <w:t xml:space="preserve">To comply with the federal and state regulations, as well as internal agency policy, NCTCOG will need a Risk Assessment on file prior to making any subrecipient agreements. </w:t>
      </w:r>
      <w:r w:rsidRPr="00BB50F7">
        <w:rPr>
          <w:rFonts w:ascii="Calibri" w:hAnsi="Calibri" w:cs="Calibri"/>
          <w:iCs/>
        </w:rPr>
        <w:t xml:space="preserve">Has your agency completed a Risk Assessment with NCTCOG within the past calendar year? If you are unsure, you may contact Nancy Luong at 817-704-5697 or </w:t>
      </w:r>
      <w:hyperlink r:id="rId9" w:history="1">
        <w:r w:rsidRPr="00BB50F7">
          <w:rPr>
            <w:rStyle w:val="Hyperlink"/>
            <w:rFonts w:ascii="Calibri" w:hAnsi="Calibri" w:cs="Calibri"/>
            <w:iCs/>
          </w:rPr>
          <w:t>nluong@nctcog.org</w:t>
        </w:r>
      </w:hyperlink>
      <w:r w:rsidRPr="00BB50F7">
        <w:rPr>
          <w:rFonts w:ascii="Calibri" w:hAnsi="Calibri" w:cs="Calibri"/>
          <w:iCs/>
        </w:rPr>
        <w:t xml:space="preserve"> to verify.</w:t>
      </w:r>
      <w:r w:rsidRPr="00BB50F7">
        <w:rPr>
          <w:rFonts w:ascii="Calibri" w:hAnsi="Calibri" w:cs="Calibri"/>
          <w:b/>
          <w:bCs/>
          <w:iCs/>
        </w:rPr>
        <w:t xml:space="preserve"> If not, applicants must complete the online form at </w:t>
      </w:r>
      <w:hyperlink r:id="rId10" w:history="1">
        <w:r w:rsidR="00EC66ED" w:rsidRPr="00BB50F7">
          <w:rPr>
            <w:rStyle w:val="Hyperlink"/>
            <w:rFonts w:ascii="Calibri" w:hAnsi="Calibri" w:cs="Calibri"/>
            <w:b/>
            <w:bCs/>
            <w:iCs/>
          </w:rPr>
          <w:t>https://www.surveymonkey.com/r/InnovationCFP</w:t>
        </w:r>
      </w:hyperlink>
      <w:r w:rsidR="00FA4119" w:rsidRPr="00BB50F7">
        <w:rPr>
          <w:rFonts w:ascii="Calibri" w:hAnsi="Calibri" w:cs="Calibri"/>
        </w:rPr>
        <w:t xml:space="preserve"> </w:t>
      </w:r>
      <w:r w:rsidR="00AE3F01" w:rsidRPr="00BB50F7">
        <w:rPr>
          <w:rFonts w:ascii="Calibri" w:hAnsi="Calibri" w:cs="Calibri"/>
          <w:iCs/>
        </w:rPr>
        <w:t>(</w:t>
      </w:r>
      <w:r w:rsidR="008255C6" w:rsidRPr="00BB50F7">
        <w:rPr>
          <w:rFonts w:ascii="Calibri" w:hAnsi="Calibri" w:cs="Calibri"/>
          <w:iCs/>
        </w:rPr>
        <w:t>TBD)</w:t>
      </w:r>
      <w:r w:rsidR="007C5B99">
        <w:rPr>
          <w:rFonts w:ascii="Calibri" w:hAnsi="Calibri" w:cs="Calibri"/>
          <w:iCs/>
        </w:rPr>
        <w:t>.</w:t>
      </w:r>
    </w:p>
    <w:p w14:paraId="49CED63E" w14:textId="2B823981" w:rsidR="00F73826" w:rsidRPr="00E72B82" w:rsidRDefault="00DB7276" w:rsidP="00E72B82">
      <w:pPr>
        <w:pStyle w:val="Default"/>
        <w:ind w:left="720"/>
        <w:jc w:val="both"/>
        <w:rPr>
          <w:rStyle w:val="Hyperlink"/>
          <w:rFonts w:ascii="Calibri" w:hAnsi="Calibri" w:cs="Calibri"/>
          <w:b/>
          <w:bCs/>
          <w:iCs/>
          <w:color w:val="000000"/>
          <w:u w:val="none"/>
        </w:rPr>
      </w:pPr>
      <w:r w:rsidRPr="00E72B82">
        <w:rPr>
          <w:rStyle w:val="Hyperlink"/>
          <w:rFonts w:ascii="Calibri" w:hAnsi="Calibri" w:cs="Calibri"/>
          <w:b/>
          <w:bCs/>
          <w:color w:val="auto"/>
        </w:rPr>
        <w:br/>
      </w:r>
      <w:r w:rsidR="00F13217" w:rsidRPr="00E72B82">
        <w:rPr>
          <w:rStyle w:val="Hyperlink"/>
          <w:rFonts w:ascii="Calibri" w:hAnsi="Calibri" w:cs="Calibri"/>
          <w:color w:val="auto"/>
          <w:u w:val="none"/>
        </w:rPr>
        <w:t>As part of this process, Applicants will be required to provide a Unique Entity Identifier (UEI), and proof of a current registration with the System for Award Management (SAM). Applicants can receive a UEI and start the registration process in SAM at no cost at www.SAM.gov. If a UEI has not yet been assigned or the SAM registration has not been approved by the time the application is submitted, please include the date the applicant requested the UEI and/or the date the SAM registration was submitted</w:t>
      </w:r>
      <w:r w:rsidR="007C5B99" w:rsidRPr="00E72B82">
        <w:rPr>
          <w:rStyle w:val="Hyperlink"/>
          <w:rFonts w:ascii="Calibri" w:hAnsi="Calibri" w:cs="Calibri"/>
          <w:color w:val="auto"/>
          <w:u w:val="none"/>
        </w:rPr>
        <w:t>.</w:t>
      </w:r>
      <w:r w:rsidR="00F13217" w:rsidRPr="00E72B82">
        <w:rPr>
          <w:rStyle w:val="Hyperlink"/>
          <w:rFonts w:ascii="Calibri" w:hAnsi="Calibri" w:cs="Calibri"/>
          <w:color w:val="auto"/>
          <w:u w:val="none"/>
        </w:rPr>
        <w:br/>
      </w:r>
    </w:p>
    <w:p w14:paraId="630D2A53" w14:textId="3597EF19" w:rsidR="00D56EDB" w:rsidRPr="00BB50F7" w:rsidRDefault="00F13217" w:rsidP="00E72B82">
      <w:pPr>
        <w:pStyle w:val="ListParagraph"/>
        <w:numPr>
          <w:ilvl w:val="0"/>
          <w:numId w:val="6"/>
        </w:numPr>
        <w:rPr>
          <w:rStyle w:val="Hyperlink"/>
          <w:rFonts w:ascii="Calibri" w:eastAsiaTheme="minorHAnsi" w:hAnsi="Calibri" w:cs="Calibri"/>
          <w:iCs/>
          <w:color w:val="000000"/>
          <w:u w:val="none"/>
        </w:rPr>
      </w:pPr>
      <w:r w:rsidRPr="00BB50F7">
        <w:rPr>
          <w:rStyle w:val="Hyperlink"/>
          <w:rFonts w:ascii="Calibri" w:eastAsiaTheme="minorHAnsi" w:hAnsi="Calibri" w:cs="Calibri"/>
          <w:b/>
          <w:bCs/>
          <w:iCs/>
          <w:color w:val="000000"/>
          <w:u w:val="none"/>
        </w:rPr>
        <w:t>The Regional Transportation Council will approve all final projects and funding levels</w:t>
      </w:r>
      <w:r w:rsidRPr="00BB50F7">
        <w:rPr>
          <w:rStyle w:val="Hyperlink"/>
          <w:rFonts w:ascii="Calibri" w:eastAsiaTheme="minorHAnsi" w:hAnsi="Calibri" w:cs="Calibri"/>
          <w:iCs/>
          <w:color w:val="000000"/>
          <w:u w:val="none"/>
        </w:rPr>
        <w:t>. Itemized budgets will be reviewed by NCTCOG for eligibility and reasonableness. Based on available funds, some projects may not be fully funded</w:t>
      </w:r>
      <w:r w:rsidR="007C5B99">
        <w:rPr>
          <w:rStyle w:val="Hyperlink"/>
          <w:rFonts w:ascii="Calibri" w:eastAsiaTheme="minorHAnsi" w:hAnsi="Calibri" w:cs="Calibri"/>
          <w:iCs/>
          <w:color w:val="000000"/>
          <w:u w:val="none"/>
        </w:rPr>
        <w:t>.</w:t>
      </w:r>
    </w:p>
    <w:p w14:paraId="7AABA3C7" w14:textId="5203BBC8" w:rsidR="005437C7" w:rsidRPr="00BB50F7" w:rsidRDefault="0002750C" w:rsidP="00DB7276">
      <w:pPr>
        <w:pStyle w:val="Default"/>
        <w:rPr>
          <w:rFonts w:ascii="Calibri" w:eastAsia="Times New Roman" w:hAnsi="Calibri" w:cs="Calibri"/>
          <w:b/>
          <w:bCs/>
        </w:rPr>
      </w:pPr>
      <w:r>
        <w:rPr>
          <w:rFonts w:ascii="Calibri" w:eastAsia="Times New Roman" w:hAnsi="Calibri" w:cs="Calibri"/>
          <w:b/>
          <w:bCs/>
        </w:rPr>
        <w:br/>
      </w:r>
    </w:p>
    <w:p w14:paraId="405B7B2B" w14:textId="77777777" w:rsidR="00386205" w:rsidRPr="00BB50F7" w:rsidRDefault="00386205" w:rsidP="00386205">
      <w:pPr>
        <w:pStyle w:val="Default"/>
        <w:rPr>
          <w:rFonts w:ascii="Calibri" w:hAnsi="Calibri" w:cs="Calibri"/>
          <w:b/>
          <w:bCs/>
          <w:iCs/>
          <w:color w:val="auto"/>
        </w:rPr>
      </w:pPr>
      <w:bookmarkStart w:id="0" w:name="_Hlk176439432"/>
      <w:r w:rsidRPr="00BB50F7">
        <w:rPr>
          <w:rFonts w:ascii="Calibri" w:hAnsi="Calibri" w:cs="Calibri"/>
          <w:b/>
          <w:bCs/>
          <w:iCs/>
          <w:color w:val="auto"/>
        </w:rPr>
        <w:t xml:space="preserve">FUNDING AVAILABILITY </w:t>
      </w:r>
    </w:p>
    <w:p w14:paraId="7A004B04" w14:textId="77777777" w:rsidR="005245C5" w:rsidRPr="00BB50F7" w:rsidRDefault="005245C5" w:rsidP="00386205">
      <w:pPr>
        <w:pStyle w:val="Default"/>
        <w:rPr>
          <w:rFonts w:ascii="Calibri" w:hAnsi="Calibri" w:cs="Calibri"/>
          <w:b/>
          <w:bCs/>
          <w:iCs/>
          <w:color w:val="EE0000"/>
        </w:rPr>
      </w:pPr>
    </w:p>
    <w:bookmarkEnd w:id="0"/>
    <w:p w14:paraId="2507D0FD" w14:textId="73A43E4D" w:rsidR="00386205" w:rsidRDefault="003846E7" w:rsidP="00B03639">
      <w:pPr>
        <w:pStyle w:val="Default"/>
        <w:jc w:val="both"/>
        <w:rPr>
          <w:rFonts w:ascii="Calibri" w:hAnsi="Calibri" w:cs="Calibri"/>
          <w:color w:val="auto"/>
        </w:rPr>
      </w:pPr>
      <w:r>
        <w:rPr>
          <w:rFonts w:ascii="Calibri" w:hAnsi="Calibri" w:cs="Calibri"/>
          <w:iCs/>
          <w:color w:val="auto"/>
        </w:rPr>
        <w:t xml:space="preserve">The </w:t>
      </w:r>
      <w:r w:rsidR="008679C5" w:rsidRPr="008679C5">
        <w:rPr>
          <w:rFonts w:ascii="Calibri" w:hAnsi="Calibri" w:cs="Calibri"/>
          <w:iCs/>
          <w:color w:val="auto"/>
        </w:rPr>
        <w:t>NCTCOG Technology Project Identification</w:t>
      </w:r>
      <w:r>
        <w:rPr>
          <w:rFonts w:ascii="Calibri" w:hAnsi="Calibri" w:cs="Calibri"/>
          <w:iCs/>
          <w:color w:val="auto"/>
        </w:rPr>
        <w:t xml:space="preserve"> framework</w:t>
      </w:r>
      <w:r w:rsidR="008679C5" w:rsidRPr="008679C5">
        <w:rPr>
          <w:rFonts w:ascii="Calibri" w:hAnsi="Calibri" w:cs="Calibri"/>
          <w:iCs/>
          <w:color w:val="auto"/>
        </w:rPr>
        <w:t xml:space="preserve"> </w:t>
      </w:r>
      <w:r>
        <w:rPr>
          <w:rFonts w:ascii="Calibri" w:hAnsi="Calibri" w:cs="Calibri"/>
          <w:iCs/>
          <w:color w:val="auto"/>
        </w:rPr>
        <w:t xml:space="preserve">(TPI) </w:t>
      </w:r>
      <w:r w:rsidR="00C24A15" w:rsidRPr="00BB50F7">
        <w:rPr>
          <w:rFonts w:ascii="Calibri" w:hAnsi="Calibri" w:cs="Calibri"/>
          <w:iCs/>
          <w:color w:val="auto"/>
        </w:rPr>
        <w:t>is funded through the Category 7 –</w:t>
      </w:r>
      <w:r w:rsidR="00B25BE0" w:rsidRPr="00BB50F7">
        <w:rPr>
          <w:rFonts w:ascii="Calibri" w:hAnsi="Calibri" w:cs="Calibri"/>
          <w:iCs/>
          <w:color w:val="auto"/>
        </w:rPr>
        <w:t xml:space="preserve"> </w:t>
      </w:r>
      <w:r w:rsidR="00C24A15" w:rsidRPr="00BB50F7">
        <w:rPr>
          <w:rFonts w:ascii="Calibri" w:hAnsi="Calibri" w:cs="Calibri"/>
          <w:iCs/>
          <w:color w:val="auto"/>
        </w:rPr>
        <w:t>Surface Transportation Block Grant Program (STBG) and covers multiple jurisdictions throughout the NCT Metropolitan Planning Area</w:t>
      </w:r>
      <w:r w:rsidR="00A37F73" w:rsidRPr="00BB50F7">
        <w:rPr>
          <w:rFonts w:ascii="Calibri" w:hAnsi="Calibri" w:cs="Calibri"/>
          <w:iCs/>
          <w:color w:val="auto"/>
        </w:rPr>
        <w:t xml:space="preserve">. The East/West equity split for the allocation of </w:t>
      </w:r>
      <w:r w:rsidR="00C24A15" w:rsidRPr="00BB50F7">
        <w:rPr>
          <w:rFonts w:ascii="Calibri" w:hAnsi="Calibri" w:cs="Calibri"/>
          <w:iCs/>
          <w:color w:val="auto"/>
        </w:rPr>
        <w:t xml:space="preserve">STBG </w:t>
      </w:r>
      <w:r w:rsidR="00A37F73" w:rsidRPr="00BB50F7">
        <w:rPr>
          <w:rFonts w:ascii="Calibri" w:hAnsi="Calibri" w:cs="Calibri"/>
          <w:iCs/>
          <w:color w:val="auto"/>
        </w:rPr>
        <w:t>funds is 6</w:t>
      </w:r>
      <w:r w:rsidR="00FD6426" w:rsidRPr="00BB50F7">
        <w:rPr>
          <w:rFonts w:ascii="Calibri" w:hAnsi="Calibri" w:cs="Calibri"/>
          <w:iCs/>
          <w:color w:val="auto"/>
        </w:rPr>
        <w:t>9</w:t>
      </w:r>
      <w:r w:rsidR="00A37F73" w:rsidRPr="00BB50F7">
        <w:rPr>
          <w:rFonts w:ascii="Calibri" w:hAnsi="Calibri" w:cs="Calibri"/>
          <w:iCs/>
          <w:color w:val="auto"/>
        </w:rPr>
        <w:t xml:space="preserve"> percent east and 3</w:t>
      </w:r>
      <w:r w:rsidR="00FD6426" w:rsidRPr="00BB50F7">
        <w:rPr>
          <w:rFonts w:ascii="Calibri" w:hAnsi="Calibri" w:cs="Calibri"/>
          <w:iCs/>
          <w:color w:val="auto"/>
        </w:rPr>
        <w:t>1</w:t>
      </w:r>
      <w:r w:rsidR="00A37F73" w:rsidRPr="00BB50F7">
        <w:rPr>
          <w:rFonts w:ascii="Calibri" w:hAnsi="Calibri" w:cs="Calibri"/>
          <w:iCs/>
          <w:color w:val="auto"/>
        </w:rPr>
        <w:t xml:space="preserve"> percent west. The total approved project budget is $</w:t>
      </w:r>
      <w:r w:rsidR="00285A96">
        <w:rPr>
          <w:rFonts w:ascii="Calibri" w:hAnsi="Calibri" w:cs="Calibri"/>
          <w:iCs/>
          <w:color w:val="auto"/>
        </w:rPr>
        <w:t>8</w:t>
      </w:r>
      <w:r w:rsidR="00A37F73" w:rsidRPr="00BB50F7">
        <w:rPr>
          <w:rFonts w:ascii="Calibri" w:hAnsi="Calibri" w:cs="Calibri"/>
          <w:iCs/>
          <w:color w:val="auto"/>
        </w:rPr>
        <w:t>,</w:t>
      </w:r>
      <w:r w:rsidR="00285A96">
        <w:rPr>
          <w:rFonts w:ascii="Calibri" w:hAnsi="Calibri" w:cs="Calibri"/>
          <w:iCs/>
          <w:color w:val="auto"/>
        </w:rPr>
        <w:t>70</w:t>
      </w:r>
      <w:r w:rsidR="00A37F73" w:rsidRPr="00BB50F7">
        <w:rPr>
          <w:rFonts w:ascii="Calibri" w:hAnsi="Calibri" w:cs="Calibri"/>
          <w:iCs/>
          <w:color w:val="auto"/>
        </w:rPr>
        <w:t xml:space="preserve">0,000. </w:t>
      </w:r>
      <w:r w:rsidR="00596261" w:rsidRPr="00BB50F7">
        <w:rPr>
          <w:rFonts w:ascii="Calibri" w:hAnsi="Calibri" w:cs="Calibri"/>
          <w:color w:val="auto"/>
        </w:rPr>
        <w:t>Agencies selected to receive funding are responsible for procurement and reimbursement requests.</w:t>
      </w:r>
    </w:p>
    <w:p w14:paraId="6365EBDC" w14:textId="77777777" w:rsidR="00B03639" w:rsidRPr="00BB50F7" w:rsidRDefault="00B03639" w:rsidP="00B03639">
      <w:pPr>
        <w:pStyle w:val="Default"/>
        <w:jc w:val="both"/>
        <w:rPr>
          <w:rFonts w:ascii="Calibri" w:hAnsi="Calibri" w:cs="Calibri"/>
          <w:b/>
          <w:bCs/>
          <w:iCs/>
          <w:color w:val="EE0000"/>
        </w:rPr>
      </w:pPr>
    </w:p>
    <w:tbl>
      <w:tblPr>
        <w:tblStyle w:val="TableGrid"/>
        <w:tblW w:w="0" w:type="auto"/>
        <w:tblLook w:val="04A0" w:firstRow="1" w:lastRow="0" w:firstColumn="1" w:lastColumn="0" w:noHBand="0" w:noVBand="1"/>
      </w:tblPr>
      <w:tblGrid>
        <w:gridCol w:w="2875"/>
        <w:gridCol w:w="3099"/>
        <w:gridCol w:w="3042"/>
      </w:tblGrid>
      <w:tr w:rsidR="00BB031D" w:rsidRPr="00BB50F7" w14:paraId="5A3E34A5" w14:textId="77777777" w:rsidTr="00ED4CF8">
        <w:tc>
          <w:tcPr>
            <w:tcW w:w="2875" w:type="dxa"/>
            <w:tcBorders>
              <w:bottom w:val="single" w:sz="4" w:space="0" w:color="auto"/>
            </w:tcBorders>
            <w:shd w:val="clear" w:color="auto" w:fill="BBE2E3"/>
            <w:vAlign w:val="center"/>
          </w:tcPr>
          <w:p w14:paraId="42819F20" w14:textId="13FF8143" w:rsidR="00386205" w:rsidRPr="00BB50F7" w:rsidRDefault="00386205" w:rsidP="000B19CE">
            <w:pPr>
              <w:pStyle w:val="Default"/>
              <w:rPr>
                <w:rFonts w:ascii="Calibri" w:hAnsi="Calibri" w:cs="Calibri"/>
                <w:b/>
                <w:bCs/>
                <w:iCs/>
              </w:rPr>
            </w:pPr>
            <w:r w:rsidRPr="00BB50F7">
              <w:rPr>
                <w:rFonts w:ascii="Calibri" w:hAnsi="Calibri" w:cs="Calibri"/>
                <w:b/>
                <w:bCs/>
                <w:iCs/>
              </w:rPr>
              <w:t>Eastern Subregion</w:t>
            </w:r>
            <w:r w:rsidR="00BB031D" w:rsidRPr="00BB50F7">
              <w:rPr>
                <w:rFonts w:ascii="Calibri" w:hAnsi="Calibri" w:cs="Calibri"/>
                <w:b/>
                <w:bCs/>
                <w:iCs/>
              </w:rPr>
              <w:t xml:space="preserve"> </w:t>
            </w:r>
            <w:r w:rsidRPr="00BB50F7">
              <w:rPr>
                <w:rFonts w:ascii="Calibri" w:hAnsi="Calibri" w:cs="Calibri"/>
                <w:b/>
                <w:bCs/>
                <w:iCs/>
              </w:rPr>
              <w:t>Dallas District</w:t>
            </w:r>
            <w:r w:rsidR="00BB031D" w:rsidRPr="00BB50F7">
              <w:rPr>
                <w:rFonts w:ascii="Calibri" w:hAnsi="Calibri" w:cs="Calibri"/>
                <w:b/>
                <w:bCs/>
                <w:iCs/>
              </w:rPr>
              <w:t xml:space="preserve"> </w:t>
            </w:r>
            <w:r w:rsidRPr="00BB50F7">
              <w:rPr>
                <w:rFonts w:ascii="Calibri" w:hAnsi="Calibri" w:cs="Calibri"/>
                <w:b/>
                <w:bCs/>
                <w:iCs/>
              </w:rPr>
              <w:t>Share</w:t>
            </w:r>
            <w:r w:rsidR="00720ED7">
              <w:rPr>
                <w:rFonts w:ascii="Calibri" w:hAnsi="Calibri" w:cs="Calibri"/>
                <w:b/>
                <w:bCs/>
                <w:iCs/>
              </w:rPr>
              <w:t xml:space="preserve"> </w:t>
            </w:r>
            <w:r w:rsidRPr="00BB50F7">
              <w:rPr>
                <w:rFonts w:ascii="Calibri" w:hAnsi="Calibri" w:cs="Calibri"/>
                <w:b/>
                <w:bCs/>
                <w:iCs/>
              </w:rPr>
              <w:t>(</w:t>
            </w:r>
            <w:r w:rsidR="004A1BC2" w:rsidRPr="00BB50F7">
              <w:rPr>
                <w:rFonts w:ascii="Calibri" w:hAnsi="Calibri" w:cs="Calibri"/>
                <w:b/>
                <w:bCs/>
                <w:iCs/>
              </w:rPr>
              <w:t>6</w:t>
            </w:r>
            <w:r w:rsidR="00FD6426" w:rsidRPr="00BB50F7">
              <w:rPr>
                <w:rFonts w:ascii="Calibri" w:hAnsi="Calibri" w:cs="Calibri"/>
                <w:b/>
                <w:bCs/>
                <w:iCs/>
              </w:rPr>
              <w:t>9</w:t>
            </w:r>
            <w:r w:rsidRPr="00BB50F7">
              <w:rPr>
                <w:rFonts w:ascii="Calibri" w:hAnsi="Calibri" w:cs="Calibri"/>
                <w:b/>
                <w:bCs/>
                <w:iCs/>
              </w:rPr>
              <w:t>%)</w:t>
            </w:r>
          </w:p>
        </w:tc>
        <w:tc>
          <w:tcPr>
            <w:tcW w:w="3099" w:type="dxa"/>
            <w:tcBorders>
              <w:bottom w:val="single" w:sz="4" w:space="0" w:color="auto"/>
            </w:tcBorders>
            <w:shd w:val="clear" w:color="auto" w:fill="BBE2E3"/>
            <w:vAlign w:val="center"/>
          </w:tcPr>
          <w:p w14:paraId="697E5D00" w14:textId="20DE9DDB" w:rsidR="00386205" w:rsidRPr="00BB50F7" w:rsidRDefault="00386205" w:rsidP="00386205">
            <w:pPr>
              <w:pStyle w:val="Default"/>
              <w:rPr>
                <w:rFonts w:ascii="Calibri" w:hAnsi="Calibri" w:cs="Calibri"/>
                <w:b/>
                <w:bCs/>
                <w:iCs/>
              </w:rPr>
            </w:pPr>
            <w:r w:rsidRPr="00BB50F7">
              <w:rPr>
                <w:rFonts w:ascii="Calibri" w:hAnsi="Calibri" w:cs="Calibri"/>
                <w:b/>
                <w:bCs/>
                <w:iCs/>
              </w:rPr>
              <w:t>Western Subregion</w:t>
            </w:r>
            <w:r w:rsidR="002A5157" w:rsidRPr="00BB50F7">
              <w:rPr>
                <w:rFonts w:ascii="Calibri" w:hAnsi="Calibri" w:cs="Calibri"/>
                <w:b/>
                <w:bCs/>
                <w:iCs/>
              </w:rPr>
              <w:t xml:space="preserve"> </w:t>
            </w:r>
            <w:r w:rsidRPr="00BB50F7">
              <w:rPr>
                <w:rFonts w:ascii="Calibri" w:hAnsi="Calibri" w:cs="Calibri"/>
                <w:b/>
                <w:bCs/>
                <w:iCs/>
              </w:rPr>
              <w:t>Fort Worth District Share</w:t>
            </w:r>
            <w:r w:rsidR="00720ED7">
              <w:rPr>
                <w:rFonts w:ascii="Calibri" w:hAnsi="Calibri" w:cs="Calibri"/>
                <w:b/>
                <w:bCs/>
                <w:iCs/>
              </w:rPr>
              <w:t xml:space="preserve"> </w:t>
            </w:r>
            <w:r w:rsidRPr="00BB50F7">
              <w:rPr>
                <w:rFonts w:ascii="Calibri" w:hAnsi="Calibri" w:cs="Calibri"/>
                <w:b/>
                <w:bCs/>
                <w:iCs/>
              </w:rPr>
              <w:t>(3</w:t>
            </w:r>
            <w:r w:rsidR="00FD6426" w:rsidRPr="00BB50F7">
              <w:rPr>
                <w:rFonts w:ascii="Calibri" w:hAnsi="Calibri" w:cs="Calibri"/>
                <w:b/>
                <w:bCs/>
                <w:iCs/>
              </w:rPr>
              <w:t>1</w:t>
            </w:r>
            <w:r w:rsidRPr="00BB50F7">
              <w:rPr>
                <w:rFonts w:ascii="Calibri" w:hAnsi="Calibri" w:cs="Calibri"/>
                <w:b/>
                <w:bCs/>
                <w:iCs/>
              </w:rPr>
              <w:t>%)</w:t>
            </w:r>
          </w:p>
        </w:tc>
        <w:tc>
          <w:tcPr>
            <w:tcW w:w="3042" w:type="dxa"/>
            <w:tcBorders>
              <w:bottom w:val="single" w:sz="4" w:space="0" w:color="auto"/>
            </w:tcBorders>
            <w:shd w:val="clear" w:color="auto" w:fill="BBE2E3"/>
            <w:vAlign w:val="center"/>
          </w:tcPr>
          <w:p w14:paraId="2FC2AB9B" w14:textId="31C7BC67" w:rsidR="00386205" w:rsidRPr="00BB50F7" w:rsidRDefault="0049702C" w:rsidP="00386205">
            <w:pPr>
              <w:pStyle w:val="Default"/>
              <w:rPr>
                <w:rFonts w:ascii="Calibri" w:hAnsi="Calibri" w:cs="Calibri"/>
                <w:b/>
                <w:bCs/>
                <w:iCs/>
              </w:rPr>
            </w:pPr>
            <w:r w:rsidRPr="0049702C">
              <w:rPr>
                <w:rFonts w:ascii="Calibri" w:hAnsi="Calibri" w:cs="Calibri"/>
                <w:b/>
                <w:bCs/>
                <w:iCs/>
              </w:rPr>
              <w:t xml:space="preserve">NCTCOG </w:t>
            </w:r>
            <w:r w:rsidR="003846E7">
              <w:rPr>
                <w:rFonts w:ascii="Calibri" w:hAnsi="Calibri" w:cs="Calibri"/>
                <w:b/>
                <w:bCs/>
                <w:iCs/>
              </w:rPr>
              <w:t xml:space="preserve">TPI </w:t>
            </w:r>
            <w:r w:rsidR="006D7194" w:rsidRPr="00BB50F7">
              <w:rPr>
                <w:rFonts w:ascii="Calibri" w:hAnsi="Calibri" w:cs="Calibri"/>
                <w:b/>
                <w:bCs/>
                <w:iCs/>
              </w:rPr>
              <w:t>Projects Funding Available</w:t>
            </w:r>
          </w:p>
        </w:tc>
      </w:tr>
      <w:tr w:rsidR="00BB031D" w:rsidRPr="00BB50F7" w14:paraId="73C8F347" w14:textId="77777777" w:rsidTr="00B03639">
        <w:trPr>
          <w:trHeight w:val="503"/>
        </w:trPr>
        <w:tc>
          <w:tcPr>
            <w:tcW w:w="2875" w:type="dxa"/>
            <w:shd w:val="clear" w:color="auto" w:fill="E7F3F4"/>
            <w:vAlign w:val="center"/>
          </w:tcPr>
          <w:p w14:paraId="63A22F65" w14:textId="4FD5C60D" w:rsidR="00386205" w:rsidRPr="00BB50F7" w:rsidRDefault="00386205" w:rsidP="0049702C">
            <w:pPr>
              <w:pStyle w:val="Default"/>
              <w:jc w:val="center"/>
              <w:rPr>
                <w:rFonts w:ascii="Calibri" w:hAnsi="Calibri" w:cs="Calibri"/>
                <w:b/>
                <w:bCs/>
                <w:iCs/>
              </w:rPr>
            </w:pPr>
            <w:r w:rsidRPr="00BB50F7">
              <w:rPr>
                <w:rFonts w:ascii="Calibri" w:hAnsi="Calibri" w:cs="Calibri"/>
                <w:b/>
                <w:bCs/>
                <w:iCs/>
              </w:rPr>
              <w:t>$</w:t>
            </w:r>
            <w:r w:rsidR="00E75BE3" w:rsidRPr="00BB50F7">
              <w:rPr>
                <w:rFonts w:ascii="Calibri" w:hAnsi="Calibri" w:cs="Calibri"/>
                <w:b/>
                <w:bCs/>
                <w:iCs/>
              </w:rPr>
              <w:t>6,</w:t>
            </w:r>
            <w:r w:rsidR="00285A96">
              <w:rPr>
                <w:rFonts w:ascii="Calibri" w:hAnsi="Calibri" w:cs="Calibri"/>
                <w:b/>
                <w:bCs/>
                <w:iCs/>
              </w:rPr>
              <w:t>003</w:t>
            </w:r>
            <w:r w:rsidR="00E75BE3" w:rsidRPr="00BB50F7">
              <w:rPr>
                <w:rFonts w:ascii="Calibri" w:hAnsi="Calibri" w:cs="Calibri"/>
                <w:b/>
                <w:bCs/>
                <w:iCs/>
              </w:rPr>
              <w:t>,</w:t>
            </w:r>
            <w:r w:rsidR="00285A96">
              <w:rPr>
                <w:rFonts w:ascii="Calibri" w:hAnsi="Calibri" w:cs="Calibri"/>
                <w:b/>
                <w:bCs/>
                <w:iCs/>
              </w:rPr>
              <w:t>0</w:t>
            </w:r>
            <w:r w:rsidR="00E75BE3" w:rsidRPr="00BB50F7">
              <w:rPr>
                <w:rFonts w:ascii="Calibri" w:hAnsi="Calibri" w:cs="Calibri"/>
                <w:b/>
                <w:bCs/>
                <w:iCs/>
              </w:rPr>
              <w:t>00</w:t>
            </w:r>
          </w:p>
        </w:tc>
        <w:tc>
          <w:tcPr>
            <w:tcW w:w="3099" w:type="dxa"/>
            <w:shd w:val="clear" w:color="auto" w:fill="E7F3F4"/>
            <w:vAlign w:val="center"/>
          </w:tcPr>
          <w:p w14:paraId="7DD1EA0B" w14:textId="20C88672" w:rsidR="00386205" w:rsidRPr="00BB50F7" w:rsidRDefault="00386205" w:rsidP="0049702C">
            <w:pPr>
              <w:pStyle w:val="Default"/>
              <w:jc w:val="center"/>
              <w:rPr>
                <w:rFonts w:ascii="Calibri" w:hAnsi="Calibri" w:cs="Calibri"/>
                <w:b/>
                <w:bCs/>
                <w:iCs/>
              </w:rPr>
            </w:pPr>
            <w:r w:rsidRPr="00BB50F7">
              <w:rPr>
                <w:rFonts w:ascii="Calibri" w:hAnsi="Calibri" w:cs="Calibri"/>
                <w:b/>
                <w:bCs/>
                <w:iCs/>
              </w:rPr>
              <w:t>$</w:t>
            </w:r>
            <w:r w:rsidR="00F1350E" w:rsidRPr="00BB50F7">
              <w:rPr>
                <w:rFonts w:ascii="Calibri" w:hAnsi="Calibri" w:cs="Calibri"/>
                <w:b/>
                <w:bCs/>
                <w:iCs/>
              </w:rPr>
              <w:t>2,</w:t>
            </w:r>
            <w:r w:rsidR="008725B5">
              <w:rPr>
                <w:rFonts w:ascii="Calibri" w:hAnsi="Calibri" w:cs="Calibri"/>
                <w:b/>
                <w:bCs/>
                <w:iCs/>
              </w:rPr>
              <w:t>697</w:t>
            </w:r>
            <w:r w:rsidR="00F1350E" w:rsidRPr="00BB50F7">
              <w:rPr>
                <w:rFonts w:ascii="Calibri" w:hAnsi="Calibri" w:cs="Calibri"/>
                <w:b/>
                <w:bCs/>
                <w:iCs/>
              </w:rPr>
              <w:t>,</w:t>
            </w:r>
            <w:r w:rsidR="008725B5">
              <w:rPr>
                <w:rFonts w:ascii="Calibri" w:hAnsi="Calibri" w:cs="Calibri"/>
                <w:b/>
                <w:bCs/>
                <w:iCs/>
              </w:rPr>
              <w:t>0</w:t>
            </w:r>
            <w:r w:rsidR="00F1350E" w:rsidRPr="00BB50F7">
              <w:rPr>
                <w:rFonts w:ascii="Calibri" w:hAnsi="Calibri" w:cs="Calibri"/>
                <w:b/>
                <w:bCs/>
                <w:iCs/>
              </w:rPr>
              <w:t>00</w:t>
            </w:r>
          </w:p>
        </w:tc>
        <w:tc>
          <w:tcPr>
            <w:tcW w:w="3042" w:type="dxa"/>
            <w:shd w:val="clear" w:color="auto" w:fill="E7F3F4"/>
            <w:vAlign w:val="center"/>
          </w:tcPr>
          <w:p w14:paraId="790C9BFB" w14:textId="1D4CC618" w:rsidR="00386205" w:rsidRPr="00BB50F7" w:rsidRDefault="00386205" w:rsidP="0049702C">
            <w:pPr>
              <w:pStyle w:val="Default"/>
              <w:jc w:val="center"/>
              <w:rPr>
                <w:rFonts w:ascii="Calibri" w:hAnsi="Calibri" w:cs="Calibri"/>
                <w:b/>
                <w:bCs/>
                <w:iCs/>
              </w:rPr>
            </w:pPr>
            <w:r w:rsidRPr="00BB50F7">
              <w:rPr>
                <w:rFonts w:ascii="Calibri" w:hAnsi="Calibri" w:cs="Calibri"/>
                <w:b/>
                <w:bCs/>
                <w:iCs/>
              </w:rPr>
              <w:t>$</w:t>
            </w:r>
            <w:r w:rsidR="008725B5">
              <w:rPr>
                <w:rFonts w:ascii="Calibri" w:hAnsi="Calibri" w:cs="Calibri"/>
                <w:b/>
                <w:bCs/>
                <w:iCs/>
              </w:rPr>
              <w:t>8</w:t>
            </w:r>
            <w:r w:rsidR="00C95205" w:rsidRPr="00BB50F7">
              <w:rPr>
                <w:rFonts w:ascii="Calibri" w:hAnsi="Calibri" w:cs="Calibri"/>
                <w:b/>
                <w:bCs/>
                <w:iCs/>
              </w:rPr>
              <w:t>,</w:t>
            </w:r>
            <w:r w:rsidR="008725B5">
              <w:rPr>
                <w:rFonts w:ascii="Calibri" w:hAnsi="Calibri" w:cs="Calibri"/>
                <w:b/>
                <w:bCs/>
                <w:iCs/>
              </w:rPr>
              <w:t>70</w:t>
            </w:r>
            <w:r w:rsidRPr="00BB50F7">
              <w:rPr>
                <w:rFonts w:ascii="Calibri" w:hAnsi="Calibri" w:cs="Calibri"/>
                <w:b/>
                <w:bCs/>
                <w:iCs/>
              </w:rPr>
              <w:t>0,000</w:t>
            </w:r>
          </w:p>
        </w:tc>
      </w:tr>
    </w:tbl>
    <w:p w14:paraId="15186AD6" w14:textId="5A4464E4" w:rsidR="00B25578" w:rsidRDefault="005437C7" w:rsidP="00B03639">
      <w:pPr>
        <w:pStyle w:val="NormalWeb"/>
        <w:jc w:val="both"/>
        <w:divId w:val="1746758527"/>
        <w:rPr>
          <w:rFonts w:ascii="Calibri" w:hAnsi="Calibri" w:cs="Calibri"/>
        </w:rPr>
      </w:pPr>
      <w:r w:rsidRPr="00BB50F7">
        <w:rPr>
          <w:rFonts w:ascii="Calibri" w:hAnsi="Calibri" w:cs="Calibri"/>
          <w:b/>
          <w:bCs/>
        </w:rPr>
        <w:t>Total Budget:</w:t>
      </w:r>
      <w:r w:rsidRPr="00BB50F7">
        <w:rPr>
          <w:rFonts w:ascii="Calibri" w:hAnsi="Calibri" w:cs="Calibri"/>
        </w:rPr>
        <w:t xml:space="preserve"> </w:t>
      </w:r>
      <w:r w:rsidR="00B25578" w:rsidRPr="00B25578">
        <w:rPr>
          <w:rFonts w:ascii="Calibri" w:hAnsi="Calibri" w:cs="Calibri"/>
        </w:rPr>
        <w:t xml:space="preserve">$8,700,000. </w:t>
      </w:r>
      <w:r w:rsidR="00237B66" w:rsidRPr="00237B66">
        <w:rPr>
          <w:rFonts w:ascii="Calibri" w:hAnsi="Calibri" w:cs="Calibri"/>
        </w:rPr>
        <w:t>No local match is required as Transportation Development Credits (TDCs) will be used to satisfy the local match requirement.</w:t>
      </w:r>
    </w:p>
    <w:p w14:paraId="3B9B9C50" w14:textId="77777777" w:rsidR="001C6679" w:rsidRDefault="001C6679" w:rsidP="00B03639">
      <w:pPr>
        <w:pStyle w:val="NormalWeb"/>
        <w:jc w:val="both"/>
        <w:divId w:val="1746758527"/>
        <w:rPr>
          <w:rFonts w:ascii="Calibri" w:hAnsi="Calibri" w:cs="Calibri"/>
        </w:rPr>
      </w:pPr>
    </w:p>
    <w:p w14:paraId="7A501ABE" w14:textId="3DC95E01" w:rsidR="005437C7" w:rsidRPr="00BB50F7" w:rsidRDefault="005437C7" w:rsidP="00B25578">
      <w:pPr>
        <w:pStyle w:val="NormalWeb"/>
        <w:divId w:val="1746758527"/>
        <w:rPr>
          <w:rFonts w:ascii="Calibri" w:eastAsia="Times New Roman" w:hAnsi="Calibri" w:cs="Calibri"/>
          <w:b/>
          <w:bCs/>
        </w:rPr>
      </w:pPr>
      <w:r w:rsidRPr="00BB50F7">
        <w:rPr>
          <w:rFonts w:ascii="Calibri" w:eastAsia="Times New Roman" w:hAnsi="Calibri" w:cs="Calibri"/>
          <w:b/>
          <w:bCs/>
        </w:rPr>
        <w:lastRenderedPageBreak/>
        <w:t>ELIGIBLE RECIPIENTS AND REQUIREMENTS</w:t>
      </w:r>
    </w:p>
    <w:p w14:paraId="1029FAF8" w14:textId="2BE6705A" w:rsidR="007C5B99" w:rsidRDefault="007C5B99" w:rsidP="00F62B5E">
      <w:pPr>
        <w:numPr>
          <w:ilvl w:val="0"/>
          <w:numId w:val="2"/>
        </w:numPr>
        <w:spacing w:before="100" w:beforeAutospacing="1" w:after="100" w:afterAutospacing="1"/>
        <w:rPr>
          <w:rFonts w:ascii="Calibri" w:eastAsia="Times New Roman" w:hAnsi="Calibri" w:cs="Calibri"/>
        </w:rPr>
      </w:pPr>
      <w:r>
        <w:rPr>
          <w:rFonts w:ascii="Calibri" w:eastAsia="Times New Roman" w:hAnsi="Calibri" w:cs="Calibri"/>
        </w:rPr>
        <w:t>Maximum award amount per project is $3 Million.</w:t>
      </w:r>
    </w:p>
    <w:p w14:paraId="6E1EE0F5" w14:textId="49C76719" w:rsidR="005437C7" w:rsidRPr="00BB50F7" w:rsidRDefault="005437C7" w:rsidP="00F62B5E">
      <w:pPr>
        <w:numPr>
          <w:ilvl w:val="0"/>
          <w:numId w:val="2"/>
        </w:numPr>
        <w:spacing w:before="100" w:beforeAutospacing="1" w:after="100" w:afterAutospacing="1"/>
        <w:rPr>
          <w:rFonts w:ascii="Calibri" w:eastAsia="Times New Roman" w:hAnsi="Calibri" w:cs="Calibri"/>
        </w:rPr>
      </w:pPr>
      <w:r w:rsidRPr="00BB50F7">
        <w:rPr>
          <w:rFonts w:ascii="Calibri" w:eastAsia="Times New Roman" w:hAnsi="Calibri" w:cs="Calibri"/>
        </w:rPr>
        <w:t xml:space="preserve">Public partner agencies within the </w:t>
      </w:r>
      <w:r w:rsidR="000D171A" w:rsidRPr="00BB50F7">
        <w:rPr>
          <w:rFonts w:ascii="Calibri" w:eastAsia="Times New Roman" w:hAnsi="Calibri" w:cs="Calibri"/>
        </w:rPr>
        <w:t>12 county MPO boundaries</w:t>
      </w:r>
      <w:r w:rsidR="000C1515">
        <w:rPr>
          <w:rFonts w:ascii="Calibri" w:eastAsia="Times New Roman" w:hAnsi="Calibri" w:cs="Calibri"/>
        </w:rPr>
        <w:t>.</w:t>
      </w:r>
    </w:p>
    <w:p w14:paraId="4A7FAC26" w14:textId="4FE8D263" w:rsidR="007D79C3" w:rsidRPr="00BB50F7" w:rsidRDefault="00B9290D" w:rsidP="00AF706E">
      <w:pPr>
        <w:numPr>
          <w:ilvl w:val="0"/>
          <w:numId w:val="2"/>
        </w:numPr>
        <w:rPr>
          <w:rFonts w:ascii="Calibri" w:eastAsia="Times New Roman" w:hAnsi="Calibri" w:cs="Calibri"/>
        </w:rPr>
      </w:pPr>
      <w:r w:rsidRPr="00B9290D">
        <w:rPr>
          <w:rFonts w:ascii="Calibri" w:eastAsia="Times New Roman" w:hAnsi="Calibri" w:cs="Calibri"/>
        </w:rPr>
        <w:t xml:space="preserve">Projects must address a transportation need, clearly identify the emphasis area(s) they </w:t>
      </w:r>
      <w:r w:rsidR="00A96743" w:rsidRPr="00B9290D">
        <w:rPr>
          <w:rFonts w:ascii="Calibri" w:eastAsia="Times New Roman" w:hAnsi="Calibri" w:cs="Calibri"/>
        </w:rPr>
        <w:t>support and</w:t>
      </w:r>
      <w:r w:rsidRPr="00B9290D">
        <w:rPr>
          <w:rFonts w:ascii="Calibri" w:eastAsia="Times New Roman" w:hAnsi="Calibri" w:cs="Calibri"/>
        </w:rPr>
        <w:t xml:space="preserve"> include documentation verifying the project’s Technology Readiness Level (</w:t>
      </w:r>
      <w:r w:rsidR="00DC7836">
        <w:rPr>
          <w:rFonts w:ascii="Calibri" w:eastAsia="Times New Roman" w:hAnsi="Calibri" w:cs="Calibri"/>
        </w:rPr>
        <w:t>M</w:t>
      </w:r>
      <w:r w:rsidRPr="00B9290D">
        <w:rPr>
          <w:rFonts w:ascii="Calibri" w:eastAsia="Times New Roman" w:hAnsi="Calibri" w:cs="Calibri"/>
        </w:rPr>
        <w:t>inimum required level 6), such as test results, pilot outcomes, or research validation.</w:t>
      </w:r>
      <w:r>
        <w:rPr>
          <w:rFonts w:ascii="Calibri" w:eastAsia="Times New Roman" w:hAnsi="Calibri" w:cs="Calibri"/>
        </w:rPr>
        <w:t xml:space="preserve"> </w:t>
      </w:r>
      <w:r w:rsidR="007D79C3" w:rsidRPr="00BB50F7">
        <w:rPr>
          <w:rFonts w:ascii="Calibri" w:eastAsia="Times New Roman" w:hAnsi="Calibri" w:cs="Calibri"/>
        </w:rPr>
        <w:t>For additional reference, see NASA’s Technology Readiness Level descriptions:</w:t>
      </w:r>
      <w:r w:rsidR="007D79C3" w:rsidRPr="00BB50F7">
        <w:rPr>
          <w:rFonts w:ascii="Calibri" w:eastAsia="Times New Roman" w:hAnsi="Calibri" w:cs="Calibri"/>
        </w:rPr>
        <w:br/>
      </w:r>
      <w:hyperlink r:id="rId11" w:tgtFrame="_new" w:history="1">
        <w:r w:rsidR="00863184" w:rsidRPr="00BB50F7">
          <w:rPr>
            <w:rStyle w:val="Hyperlink"/>
            <w:rFonts w:ascii="Calibri" w:eastAsia="Times New Roman" w:hAnsi="Calibri" w:cs="Calibri"/>
            <w:b/>
            <w:bCs/>
          </w:rPr>
          <w:t>https://www.nasa.gov/wp-content/uploads/2017/12/458490main_trl_definitions.pdf</w:t>
        </w:r>
      </w:hyperlink>
    </w:p>
    <w:p w14:paraId="5613EB9B" w14:textId="621AC0A8" w:rsidR="005437C7" w:rsidRPr="00BB50F7" w:rsidRDefault="005437C7" w:rsidP="00292D50">
      <w:pPr>
        <w:numPr>
          <w:ilvl w:val="0"/>
          <w:numId w:val="2"/>
        </w:numPr>
        <w:spacing w:before="100" w:beforeAutospacing="1" w:after="100" w:afterAutospacing="1"/>
        <w:rPr>
          <w:rFonts w:ascii="Calibri" w:eastAsia="Times New Roman" w:hAnsi="Calibri" w:cs="Calibri"/>
        </w:rPr>
      </w:pPr>
      <w:r w:rsidRPr="00BB50F7">
        <w:rPr>
          <w:rFonts w:ascii="Calibri" w:eastAsia="Times New Roman" w:hAnsi="Calibri" w:cs="Calibri"/>
        </w:rPr>
        <w:t xml:space="preserve">Commitment to </w:t>
      </w:r>
      <w:proofErr w:type="gramStart"/>
      <w:r w:rsidRPr="00BB50F7">
        <w:rPr>
          <w:rFonts w:ascii="Calibri" w:eastAsia="Times New Roman" w:hAnsi="Calibri" w:cs="Calibri"/>
        </w:rPr>
        <w:t>open-data</w:t>
      </w:r>
      <w:proofErr w:type="gramEnd"/>
      <w:r w:rsidRPr="00BB50F7">
        <w:rPr>
          <w:rFonts w:ascii="Calibri" w:eastAsia="Times New Roman" w:hAnsi="Calibri" w:cs="Calibri"/>
        </w:rPr>
        <w:t xml:space="preserve"> sharing with NCTCOG</w:t>
      </w:r>
      <w:r w:rsidR="000C1515">
        <w:rPr>
          <w:rFonts w:ascii="Calibri" w:eastAsia="Times New Roman" w:hAnsi="Calibri" w:cs="Calibri"/>
        </w:rPr>
        <w:t>.</w:t>
      </w:r>
    </w:p>
    <w:p w14:paraId="554277CB" w14:textId="54C78C26" w:rsidR="005437C7" w:rsidRPr="00CF29A7" w:rsidRDefault="005437C7" w:rsidP="00F62B5E">
      <w:pPr>
        <w:numPr>
          <w:ilvl w:val="0"/>
          <w:numId w:val="2"/>
        </w:numPr>
        <w:spacing w:before="100" w:beforeAutospacing="1" w:after="100" w:afterAutospacing="1"/>
        <w:rPr>
          <w:rFonts w:ascii="Calibri" w:eastAsia="Times New Roman" w:hAnsi="Calibri" w:cs="Calibri"/>
          <w:b/>
          <w:bCs/>
        </w:rPr>
      </w:pPr>
      <w:r w:rsidRPr="00BB50F7">
        <w:rPr>
          <w:rFonts w:ascii="Calibri" w:eastAsia="Times New Roman" w:hAnsi="Calibri" w:cs="Calibri"/>
        </w:rPr>
        <w:t xml:space="preserve">Follow </w:t>
      </w:r>
      <w:r w:rsidR="00A96743" w:rsidRPr="00BB50F7">
        <w:rPr>
          <w:rFonts w:ascii="Calibri" w:eastAsia="Times New Roman" w:hAnsi="Calibri" w:cs="Calibri"/>
        </w:rPr>
        <w:t>Connected Vehicle Systems Interface Guidelines</w:t>
      </w:r>
      <w:r w:rsidR="000C1515">
        <w:rPr>
          <w:rFonts w:ascii="Calibri" w:eastAsia="Times New Roman" w:hAnsi="Calibri" w:cs="Calibri"/>
        </w:rPr>
        <w:t>.</w:t>
      </w:r>
      <w:r w:rsidR="00CF29A7">
        <w:rPr>
          <w:rFonts w:ascii="Calibri" w:eastAsia="Times New Roman" w:hAnsi="Calibri" w:cs="Calibri"/>
        </w:rPr>
        <w:t xml:space="preserve"> </w:t>
      </w:r>
    </w:p>
    <w:p w14:paraId="71FA8275" w14:textId="28352D0D" w:rsidR="005437C7" w:rsidRPr="00BB50F7" w:rsidRDefault="005437C7" w:rsidP="00F62B5E">
      <w:pPr>
        <w:numPr>
          <w:ilvl w:val="0"/>
          <w:numId w:val="2"/>
        </w:numPr>
        <w:spacing w:before="100" w:beforeAutospacing="1" w:after="100" w:afterAutospacing="1"/>
        <w:rPr>
          <w:rFonts w:ascii="Calibri" w:eastAsia="Times New Roman" w:hAnsi="Calibri" w:cs="Calibri"/>
        </w:rPr>
      </w:pPr>
      <w:r w:rsidRPr="00BB50F7">
        <w:rPr>
          <w:rFonts w:ascii="Calibri" w:eastAsia="Times New Roman" w:hAnsi="Calibri" w:cs="Calibri"/>
        </w:rPr>
        <w:t>Include a plan for maintenance and operations after project completion</w:t>
      </w:r>
      <w:r w:rsidR="000C1515">
        <w:rPr>
          <w:rFonts w:ascii="Calibri" w:eastAsia="Times New Roman" w:hAnsi="Calibri" w:cs="Calibri"/>
        </w:rPr>
        <w:t>.</w:t>
      </w:r>
    </w:p>
    <w:p w14:paraId="326BA8EF" w14:textId="37D63801" w:rsidR="005437C7" w:rsidRPr="00BB50F7" w:rsidRDefault="005437C7" w:rsidP="00F62B5E">
      <w:pPr>
        <w:numPr>
          <w:ilvl w:val="0"/>
          <w:numId w:val="2"/>
        </w:numPr>
        <w:spacing w:before="100" w:beforeAutospacing="1" w:after="100" w:afterAutospacing="1"/>
        <w:rPr>
          <w:rFonts w:ascii="Calibri" w:eastAsia="Times New Roman" w:hAnsi="Calibri" w:cs="Calibri"/>
        </w:rPr>
      </w:pPr>
      <w:r w:rsidRPr="00BB50F7">
        <w:rPr>
          <w:rFonts w:ascii="Calibri" w:eastAsia="Times New Roman" w:hAnsi="Calibri" w:cs="Calibri"/>
          <w:b/>
          <w:bCs/>
        </w:rPr>
        <w:t xml:space="preserve">Personnel costs for project implementation </w:t>
      </w:r>
      <w:r w:rsidR="00B9201F" w:rsidRPr="00BB50F7">
        <w:rPr>
          <w:rFonts w:ascii="Calibri" w:eastAsia="Times New Roman" w:hAnsi="Calibri" w:cs="Calibri"/>
          <w:b/>
          <w:bCs/>
        </w:rPr>
        <w:t>are</w:t>
      </w:r>
      <w:r w:rsidR="00A01665" w:rsidRPr="00BB50F7">
        <w:rPr>
          <w:rFonts w:ascii="Calibri" w:eastAsia="Times New Roman" w:hAnsi="Calibri" w:cs="Calibri"/>
          <w:b/>
          <w:bCs/>
        </w:rPr>
        <w:t xml:space="preserve"> not</w:t>
      </w:r>
      <w:r w:rsidR="00F55A81" w:rsidRPr="00BB50F7">
        <w:rPr>
          <w:rFonts w:ascii="Calibri" w:eastAsia="Times New Roman" w:hAnsi="Calibri" w:cs="Calibri"/>
          <w:b/>
          <w:bCs/>
        </w:rPr>
        <w:t xml:space="preserve"> </w:t>
      </w:r>
      <w:r w:rsidRPr="00BB50F7">
        <w:rPr>
          <w:rFonts w:ascii="Calibri" w:eastAsia="Times New Roman" w:hAnsi="Calibri" w:cs="Calibri"/>
          <w:b/>
          <w:bCs/>
        </w:rPr>
        <w:t>eligible for reimbursement</w:t>
      </w:r>
      <w:r w:rsidR="000C1515">
        <w:rPr>
          <w:rFonts w:ascii="Calibri" w:eastAsia="Times New Roman" w:hAnsi="Calibri" w:cs="Calibri"/>
          <w:b/>
          <w:bCs/>
        </w:rPr>
        <w:t>.</w:t>
      </w:r>
    </w:p>
    <w:p w14:paraId="673C97FD" w14:textId="77777777" w:rsidR="005437C7" w:rsidRPr="00BB50F7" w:rsidRDefault="005437C7">
      <w:pPr>
        <w:divId w:val="1416898436"/>
        <w:rPr>
          <w:rFonts w:ascii="Calibri" w:eastAsia="Times New Roman" w:hAnsi="Calibri" w:cs="Calibri"/>
          <w:b/>
          <w:bCs/>
        </w:rPr>
      </w:pPr>
      <w:r w:rsidRPr="00BB50F7">
        <w:rPr>
          <w:rFonts w:ascii="Calibri" w:eastAsia="Times New Roman" w:hAnsi="Calibri" w:cs="Calibri"/>
          <w:b/>
          <w:bCs/>
        </w:rPr>
        <w:t>BUILD AMERICA, BUY AMERICA REQUIREMENTS</w:t>
      </w:r>
    </w:p>
    <w:p w14:paraId="10D67430" w14:textId="0A0C1857" w:rsidR="00B35DA2" w:rsidRPr="00BB50F7" w:rsidRDefault="005437C7" w:rsidP="0002750C">
      <w:pPr>
        <w:pStyle w:val="NormalWeb"/>
        <w:jc w:val="both"/>
        <w:rPr>
          <w:rFonts w:ascii="Calibri" w:hAnsi="Calibri" w:cs="Calibri"/>
        </w:rPr>
      </w:pPr>
      <w:r w:rsidRPr="00BB50F7">
        <w:rPr>
          <w:rFonts w:ascii="Calibri" w:hAnsi="Calibri" w:cs="Calibri"/>
        </w:rPr>
        <w:t xml:space="preserve">The PERFORMING PARTY agrees to comply with all Build America, Buy America (BABA) requirements under 23 USC 313, 2 CFR 200.184 and 2 CFR 200.322 for the purchase, acquisition, or use of goods, products, or materials (including but not limited to iron, aluminum, steel, cement, and other manufactured products). Consistent with 2 CFR §200.322,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 The PERFORMING PARTY must provide a Certification completed by the manufacturer or demonstrate that the Federal Highway Administration has granted a waiver of the BABA requirements. </w:t>
      </w:r>
    </w:p>
    <w:p w14:paraId="20248EEB" w14:textId="0D0E6D24" w:rsidR="00823876" w:rsidRPr="00BB50F7" w:rsidRDefault="0002750C" w:rsidP="00823876">
      <w:pPr>
        <w:pStyle w:val="NormalWeb"/>
        <w:jc w:val="both"/>
        <w:rPr>
          <w:rFonts w:ascii="Calibri" w:eastAsia="Times New Roman" w:hAnsi="Calibri" w:cs="Calibri"/>
          <w:b/>
          <w:bCs/>
        </w:rPr>
      </w:pPr>
      <w:r>
        <w:rPr>
          <w:rFonts w:ascii="Calibri" w:eastAsia="Times New Roman" w:hAnsi="Calibri" w:cs="Calibri"/>
          <w:b/>
          <w:bCs/>
        </w:rPr>
        <w:br/>
      </w:r>
      <w:r w:rsidR="00823876" w:rsidRPr="00BB50F7">
        <w:rPr>
          <w:rFonts w:ascii="Calibri" w:eastAsia="Times New Roman" w:hAnsi="Calibri" w:cs="Calibri"/>
          <w:b/>
          <w:bCs/>
        </w:rPr>
        <w:t>PROPERTY MANAGEMENT REQUIREMENTS</w:t>
      </w:r>
    </w:p>
    <w:p w14:paraId="5664C051" w14:textId="77777777" w:rsidR="001C6679" w:rsidRDefault="00823876" w:rsidP="007713C1">
      <w:pPr>
        <w:pStyle w:val="NormalWeb"/>
        <w:jc w:val="both"/>
        <w:rPr>
          <w:rFonts w:ascii="Calibri" w:hAnsi="Calibri" w:cs="Calibri"/>
        </w:rPr>
      </w:pPr>
      <w:r w:rsidRPr="00BB50F7">
        <w:rPr>
          <w:rFonts w:ascii="Calibri" w:hAnsi="Calibri" w:cs="Calibri"/>
        </w:rPr>
        <w:t>Agencies must maintain grant-funded equipment, including information technology systems such as computing devices, ancillary equipment, software, firmware, and similar procedures, services (including support services), and related resources, in accordance with federal property management requirements and will be subject to monitoring by NCTCOG. This means that an Agency must maintain grant-funded equipment in good working order, operate it in a manner consistent with the grant until the fair market value is $5,000 or less, and provide information concerning the use and condition of the equipment upon request. When the equipment acquired is no longer needed, the Agency must contact NCTCOG for further instructions regarding disposition. Equipment may not be sold, scrapped or otherwise disposed of until written approval is received from NCTCOG.</w:t>
      </w:r>
      <w:r w:rsidR="00722E76" w:rsidRPr="00BB50F7">
        <w:rPr>
          <w:rFonts w:ascii="Calibri" w:hAnsi="Calibri" w:cs="Calibri"/>
        </w:rPr>
        <w:t xml:space="preserve"> </w:t>
      </w:r>
      <w:proofErr w:type="gramStart"/>
      <w:r w:rsidRPr="00BB50F7">
        <w:rPr>
          <w:rFonts w:ascii="Calibri" w:hAnsi="Calibri" w:cs="Calibri"/>
        </w:rPr>
        <w:t>Sale</w:t>
      </w:r>
      <w:proofErr w:type="gramEnd"/>
      <w:r w:rsidRPr="00BB50F7">
        <w:rPr>
          <w:rFonts w:ascii="Calibri" w:hAnsi="Calibri" w:cs="Calibri"/>
        </w:rPr>
        <w:t xml:space="preserve">, scrap or other disposal without NCTCOG approval or when fair market value exceeds $5,000, may result in a partial return </w:t>
      </w:r>
      <w:proofErr w:type="gramStart"/>
      <w:r w:rsidRPr="00BB50F7">
        <w:rPr>
          <w:rFonts w:ascii="Calibri" w:hAnsi="Calibri" w:cs="Calibri"/>
        </w:rPr>
        <w:t>of</w:t>
      </w:r>
      <w:proofErr w:type="gramEnd"/>
      <w:r w:rsidRPr="00BB50F7">
        <w:rPr>
          <w:rFonts w:ascii="Calibri" w:hAnsi="Calibri" w:cs="Calibri"/>
        </w:rPr>
        <w:t xml:space="preserve"> funding.</w:t>
      </w:r>
    </w:p>
    <w:p w14:paraId="1652636E" w14:textId="77777777" w:rsidR="001C6679" w:rsidRDefault="001C6679" w:rsidP="007713C1">
      <w:pPr>
        <w:pStyle w:val="NormalWeb"/>
        <w:jc w:val="both"/>
        <w:rPr>
          <w:rFonts w:ascii="Calibri" w:eastAsia="Times New Roman" w:hAnsi="Calibri" w:cs="Calibri"/>
          <w:b/>
          <w:bCs/>
        </w:rPr>
      </w:pPr>
    </w:p>
    <w:p w14:paraId="7BE63B47" w14:textId="223CECBA" w:rsidR="007713C1" w:rsidRPr="001C6679" w:rsidRDefault="00413A42" w:rsidP="007713C1">
      <w:pPr>
        <w:pStyle w:val="NormalWeb"/>
        <w:jc w:val="both"/>
        <w:rPr>
          <w:rFonts w:ascii="Calibri" w:hAnsi="Calibri" w:cs="Calibri"/>
        </w:rPr>
      </w:pPr>
      <w:r w:rsidRPr="00BB50F7">
        <w:rPr>
          <w:rFonts w:ascii="Calibri" w:eastAsia="Times New Roman" w:hAnsi="Calibri" w:cs="Calibri"/>
          <w:b/>
          <w:bCs/>
        </w:rPr>
        <w:t xml:space="preserve">MATCHING REQUIREMENTS </w:t>
      </w:r>
    </w:p>
    <w:p w14:paraId="76829978" w14:textId="7241F803" w:rsidR="00413A42" w:rsidRPr="00E70887" w:rsidRDefault="00413A42" w:rsidP="007713C1">
      <w:pPr>
        <w:pStyle w:val="NormalWeb"/>
        <w:jc w:val="both"/>
        <w:rPr>
          <w:rFonts w:ascii="Calibri" w:hAnsi="Calibri" w:cs="Calibri"/>
        </w:rPr>
      </w:pPr>
      <w:r w:rsidRPr="00BB50F7">
        <w:rPr>
          <w:rFonts w:ascii="Calibri" w:hAnsi="Calibri" w:cs="Calibri"/>
        </w:rPr>
        <w:t xml:space="preserve">Agencies receiving funds through the </w:t>
      </w:r>
      <w:r w:rsidR="00E275D5" w:rsidRPr="00E275D5">
        <w:rPr>
          <w:rFonts w:ascii="Calibri" w:hAnsi="Calibri" w:cs="Calibri"/>
        </w:rPr>
        <w:t xml:space="preserve">NCTCOG </w:t>
      </w:r>
      <w:r w:rsidR="00E70887" w:rsidRPr="00E275D5">
        <w:rPr>
          <w:rFonts w:ascii="Calibri" w:hAnsi="Calibri" w:cs="Calibri"/>
        </w:rPr>
        <w:t>Technology Project Identification (TPI) Framework</w:t>
      </w:r>
      <w:r w:rsidR="00E70887">
        <w:rPr>
          <w:rFonts w:ascii="Calibri" w:hAnsi="Calibri" w:cs="Calibri"/>
        </w:rPr>
        <w:t xml:space="preserve"> </w:t>
      </w:r>
      <w:r w:rsidRPr="00BB50F7">
        <w:rPr>
          <w:rFonts w:ascii="Calibri" w:hAnsi="Calibri" w:cs="Calibri"/>
        </w:rPr>
        <w:t xml:space="preserve">will not be required to provide a local match as a part of </w:t>
      </w:r>
      <w:r w:rsidR="00423F5E" w:rsidRPr="00BB50F7">
        <w:rPr>
          <w:rFonts w:ascii="Calibri" w:hAnsi="Calibri" w:cs="Calibri"/>
        </w:rPr>
        <w:t xml:space="preserve">this </w:t>
      </w:r>
      <w:r w:rsidR="00ED6C60">
        <w:rPr>
          <w:rFonts w:ascii="Calibri" w:hAnsi="Calibri" w:cs="Calibri"/>
        </w:rPr>
        <w:t>c</w:t>
      </w:r>
      <w:r w:rsidRPr="00BB50F7">
        <w:rPr>
          <w:rFonts w:ascii="Calibri" w:hAnsi="Calibri" w:cs="Calibri"/>
        </w:rPr>
        <w:t xml:space="preserve">all for </w:t>
      </w:r>
      <w:r w:rsidR="00ED6C60">
        <w:rPr>
          <w:rFonts w:ascii="Calibri" w:hAnsi="Calibri" w:cs="Calibri"/>
        </w:rPr>
        <w:t>ideas</w:t>
      </w:r>
      <w:r w:rsidRPr="00BB50F7">
        <w:rPr>
          <w:rFonts w:ascii="Calibri" w:hAnsi="Calibri" w:cs="Calibri"/>
        </w:rPr>
        <w:t xml:space="preserve">.  </w:t>
      </w:r>
    </w:p>
    <w:p w14:paraId="794F1545" w14:textId="77777777" w:rsidR="005437C7" w:rsidRPr="00BB50F7" w:rsidRDefault="005437C7">
      <w:pPr>
        <w:divId w:val="2133403553"/>
        <w:rPr>
          <w:rFonts w:ascii="Calibri" w:eastAsia="Times New Roman" w:hAnsi="Calibri" w:cs="Calibri"/>
          <w:b/>
          <w:bCs/>
        </w:rPr>
      </w:pPr>
      <w:r w:rsidRPr="00BB50F7">
        <w:rPr>
          <w:rFonts w:ascii="Calibri" w:eastAsia="Times New Roman" w:hAnsi="Calibri" w:cs="Calibri"/>
          <w:b/>
          <w:bCs/>
        </w:rPr>
        <w:t>EVALUATION CRITERIA</w:t>
      </w:r>
    </w:p>
    <w:tbl>
      <w:tblPr>
        <w:tblW w:w="4940" w:type="pct"/>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513"/>
        <w:gridCol w:w="5282"/>
        <w:gridCol w:w="1107"/>
      </w:tblGrid>
      <w:tr w:rsidR="0009450C" w:rsidRPr="00BB50F7" w14:paraId="0B58CAF7" w14:textId="77777777" w:rsidTr="00853B58">
        <w:trPr>
          <w:divId w:val="1290626772"/>
          <w:trHeight w:val="558"/>
          <w:jc w:val="center"/>
        </w:trPr>
        <w:tc>
          <w:tcPr>
            <w:tcW w:w="1411" w:type="pct"/>
            <w:tcBorders>
              <w:top w:val="single" w:sz="6" w:space="0" w:color="000000"/>
              <w:left w:val="single" w:sz="6" w:space="0" w:color="000000"/>
              <w:bottom w:val="single" w:sz="6" w:space="0" w:color="000000"/>
              <w:right w:val="single" w:sz="6" w:space="0" w:color="000000"/>
            </w:tcBorders>
            <w:shd w:val="clear" w:color="auto" w:fill="E6E6E6"/>
            <w:tcMar>
              <w:top w:w="75" w:type="dxa"/>
              <w:left w:w="75" w:type="dxa"/>
              <w:bottom w:w="75" w:type="dxa"/>
              <w:right w:w="75" w:type="dxa"/>
            </w:tcMar>
            <w:vAlign w:val="center"/>
            <w:hideMark/>
          </w:tcPr>
          <w:p w14:paraId="3FF32EF5" w14:textId="77777777" w:rsidR="0009450C" w:rsidRPr="00BB50F7" w:rsidRDefault="0009450C" w:rsidP="0009450C">
            <w:pPr>
              <w:jc w:val="center"/>
              <w:rPr>
                <w:rFonts w:ascii="Calibri" w:eastAsia="Times New Roman" w:hAnsi="Calibri" w:cs="Calibri"/>
                <w:b/>
                <w:bCs/>
              </w:rPr>
            </w:pPr>
            <w:r w:rsidRPr="00BB50F7">
              <w:rPr>
                <w:rFonts w:ascii="Calibri" w:eastAsia="Times New Roman" w:hAnsi="Calibri" w:cs="Calibri"/>
                <w:b/>
                <w:bCs/>
              </w:rPr>
              <w:t>Scoring Component</w:t>
            </w:r>
          </w:p>
        </w:tc>
        <w:tc>
          <w:tcPr>
            <w:tcW w:w="2967" w:type="pct"/>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15" w:type="dxa"/>
            </w:tcMar>
          </w:tcPr>
          <w:p w14:paraId="6F5D4112" w14:textId="31586EF0" w:rsidR="0009450C" w:rsidRPr="00BB50F7" w:rsidRDefault="0009450C" w:rsidP="009B4A9C">
            <w:pPr>
              <w:rPr>
                <w:rFonts w:ascii="Calibri" w:eastAsia="Times New Roman" w:hAnsi="Calibri" w:cs="Calibri"/>
                <w:b/>
                <w:bCs/>
              </w:rPr>
            </w:pPr>
          </w:p>
        </w:tc>
        <w:tc>
          <w:tcPr>
            <w:tcW w:w="622" w:type="pct"/>
            <w:tcBorders>
              <w:top w:val="single" w:sz="6" w:space="0" w:color="000000"/>
              <w:left w:val="single" w:sz="6" w:space="0" w:color="000000"/>
              <w:bottom w:val="single" w:sz="6" w:space="0" w:color="000000"/>
              <w:right w:val="single" w:sz="6" w:space="0" w:color="000000"/>
            </w:tcBorders>
            <w:shd w:val="clear" w:color="auto" w:fill="E6E6E6"/>
            <w:tcMar>
              <w:top w:w="75" w:type="dxa"/>
              <w:left w:w="75" w:type="dxa"/>
              <w:bottom w:w="75" w:type="dxa"/>
              <w:right w:w="75" w:type="dxa"/>
            </w:tcMar>
            <w:vAlign w:val="center"/>
            <w:hideMark/>
          </w:tcPr>
          <w:p w14:paraId="67964819" w14:textId="77777777" w:rsidR="0009450C" w:rsidRPr="00BB50F7" w:rsidRDefault="0009450C" w:rsidP="0009450C">
            <w:pPr>
              <w:jc w:val="center"/>
              <w:rPr>
                <w:rFonts w:ascii="Calibri" w:eastAsia="Times New Roman" w:hAnsi="Calibri" w:cs="Calibri"/>
                <w:b/>
                <w:bCs/>
              </w:rPr>
            </w:pPr>
            <w:r w:rsidRPr="00BB50F7">
              <w:rPr>
                <w:rFonts w:ascii="Calibri" w:eastAsia="Times New Roman" w:hAnsi="Calibri" w:cs="Calibri"/>
                <w:b/>
                <w:bCs/>
              </w:rPr>
              <w:t>Available Points</w:t>
            </w:r>
          </w:p>
        </w:tc>
      </w:tr>
      <w:tr w:rsidR="0009450C" w:rsidRPr="00BB50F7" w14:paraId="45197ED1" w14:textId="77777777" w:rsidTr="00853B58">
        <w:trPr>
          <w:divId w:val="1290626772"/>
          <w:trHeight w:val="612"/>
          <w:jc w:val="center"/>
        </w:trPr>
        <w:tc>
          <w:tcPr>
            <w:tcW w:w="14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6F1E13" w14:textId="77777777" w:rsidR="0009450C" w:rsidRPr="00BB50F7" w:rsidRDefault="0009450C" w:rsidP="009B4A9C">
            <w:pPr>
              <w:rPr>
                <w:rFonts w:ascii="Calibri" w:eastAsia="Times New Roman" w:hAnsi="Calibri" w:cs="Calibri"/>
              </w:rPr>
            </w:pPr>
            <w:r w:rsidRPr="00BB50F7">
              <w:rPr>
                <w:rFonts w:ascii="Calibri" w:eastAsia="Times New Roman" w:hAnsi="Calibri" w:cs="Calibri"/>
              </w:rPr>
              <w:t>Innovative approach to solve a transportation need</w:t>
            </w:r>
          </w:p>
        </w:tc>
        <w:tc>
          <w:tcPr>
            <w:tcW w:w="29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1AF86" w14:textId="7BCE9AF4" w:rsidR="0009450C" w:rsidRPr="00BB50F7" w:rsidRDefault="0078079F" w:rsidP="009B4A9C">
            <w:pPr>
              <w:rPr>
                <w:rFonts w:ascii="Calibri" w:eastAsia="Times New Roman" w:hAnsi="Calibri" w:cs="Calibri"/>
              </w:rPr>
            </w:pPr>
            <w:r w:rsidRPr="0078079F">
              <w:rPr>
                <w:rFonts w:ascii="Calibri" w:eastAsia="Times New Roman" w:hAnsi="Calibri" w:cs="Calibri"/>
              </w:rPr>
              <w:t xml:space="preserve">Innovative </w:t>
            </w:r>
            <w:proofErr w:type="gramStart"/>
            <w:r w:rsidRPr="0078079F">
              <w:rPr>
                <w:rFonts w:ascii="Calibri" w:eastAsia="Times New Roman" w:hAnsi="Calibri" w:cs="Calibri"/>
              </w:rPr>
              <w:t>solution</w:t>
            </w:r>
            <w:proofErr w:type="gramEnd"/>
            <w:r w:rsidRPr="0078079F">
              <w:rPr>
                <w:rFonts w:ascii="Calibri" w:eastAsia="Times New Roman" w:hAnsi="Calibri" w:cs="Calibri"/>
              </w:rPr>
              <w:t xml:space="preserve"> that supports listed emphasis areas, </w:t>
            </w:r>
            <w:proofErr w:type="gramStart"/>
            <w:r w:rsidRPr="0078079F">
              <w:rPr>
                <w:rFonts w:ascii="Calibri" w:eastAsia="Times New Roman" w:hAnsi="Calibri" w:cs="Calibri"/>
              </w:rPr>
              <w:t>engages</w:t>
            </w:r>
            <w:proofErr w:type="gramEnd"/>
            <w:r w:rsidRPr="0078079F">
              <w:rPr>
                <w:rFonts w:ascii="Calibri" w:eastAsia="Times New Roman" w:hAnsi="Calibri" w:cs="Calibri"/>
              </w:rPr>
              <w:t xml:space="preserve"> the community, </w:t>
            </w:r>
            <w:proofErr w:type="gramStart"/>
            <w:r w:rsidRPr="0078079F">
              <w:rPr>
                <w:rFonts w:ascii="Calibri" w:eastAsia="Times New Roman" w:hAnsi="Calibri" w:cs="Calibri"/>
              </w:rPr>
              <w:t>improves</w:t>
            </w:r>
            <w:proofErr w:type="gramEnd"/>
            <w:r w:rsidRPr="0078079F">
              <w:rPr>
                <w:rFonts w:ascii="Calibri" w:eastAsia="Times New Roman" w:hAnsi="Calibri" w:cs="Calibri"/>
              </w:rPr>
              <w:t xml:space="preserve"> job access, and </w:t>
            </w:r>
            <w:proofErr w:type="gramStart"/>
            <w:r w:rsidRPr="0078079F">
              <w:rPr>
                <w:rFonts w:ascii="Calibri" w:eastAsia="Times New Roman" w:hAnsi="Calibri" w:cs="Calibri"/>
              </w:rPr>
              <w:t>drives</w:t>
            </w:r>
            <w:proofErr w:type="gramEnd"/>
            <w:r w:rsidRPr="0078079F">
              <w:rPr>
                <w:rFonts w:ascii="Calibri" w:eastAsia="Times New Roman" w:hAnsi="Calibri" w:cs="Calibri"/>
              </w:rPr>
              <w:t xml:space="preserve"> economic growth</w:t>
            </w:r>
          </w:p>
        </w:tc>
        <w:tc>
          <w:tcPr>
            <w:tcW w:w="6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175B62" w14:textId="0E152C76" w:rsidR="0009450C" w:rsidRPr="00BB50F7" w:rsidRDefault="0009450C" w:rsidP="009B4A9C">
            <w:pPr>
              <w:jc w:val="center"/>
              <w:rPr>
                <w:rFonts w:ascii="Calibri" w:eastAsia="Times New Roman" w:hAnsi="Calibri" w:cs="Calibri"/>
              </w:rPr>
            </w:pPr>
            <w:r w:rsidRPr="00BB50F7">
              <w:rPr>
                <w:rFonts w:ascii="Calibri" w:eastAsia="Times New Roman" w:hAnsi="Calibri" w:cs="Calibri"/>
              </w:rPr>
              <w:t>50</w:t>
            </w:r>
            <w:r w:rsidR="007C5B99">
              <w:rPr>
                <w:rFonts w:ascii="Calibri" w:eastAsia="Times New Roman" w:hAnsi="Calibri" w:cs="Calibri"/>
              </w:rPr>
              <w:t>%</w:t>
            </w:r>
          </w:p>
        </w:tc>
      </w:tr>
      <w:tr w:rsidR="0009450C" w:rsidRPr="00BB50F7" w14:paraId="5A5261A0" w14:textId="77777777" w:rsidTr="00853B58">
        <w:trPr>
          <w:divId w:val="1290626772"/>
          <w:trHeight w:val="657"/>
          <w:jc w:val="center"/>
        </w:trPr>
        <w:tc>
          <w:tcPr>
            <w:tcW w:w="14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E22E4F3" w14:textId="77777777" w:rsidR="0009450C" w:rsidRPr="00BB50F7" w:rsidRDefault="0009450C" w:rsidP="009B4A9C">
            <w:pPr>
              <w:rPr>
                <w:rFonts w:ascii="Calibri" w:eastAsia="Times New Roman" w:hAnsi="Calibri" w:cs="Calibri"/>
              </w:rPr>
            </w:pPr>
            <w:r w:rsidRPr="00BB50F7">
              <w:rPr>
                <w:rFonts w:ascii="Calibri" w:eastAsia="Times New Roman" w:hAnsi="Calibri" w:cs="Calibri"/>
              </w:rPr>
              <w:t>Strong case for regional investment</w:t>
            </w:r>
          </w:p>
        </w:tc>
        <w:tc>
          <w:tcPr>
            <w:tcW w:w="29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B633FE" w14:textId="2AB728BD" w:rsidR="0009450C" w:rsidRPr="00BB50F7" w:rsidRDefault="0009450C" w:rsidP="009B4A9C">
            <w:pPr>
              <w:rPr>
                <w:rFonts w:ascii="Calibri" w:eastAsia="Times New Roman" w:hAnsi="Calibri" w:cs="Calibri"/>
              </w:rPr>
            </w:pPr>
            <w:r w:rsidRPr="00BB50F7">
              <w:rPr>
                <w:rFonts w:ascii="Calibri" w:eastAsia="Times New Roman" w:hAnsi="Calibri" w:cs="Calibri"/>
              </w:rPr>
              <w:t>Clearly articulates why regional funds are needed and how the project can be transferable across regions</w:t>
            </w:r>
          </w:p>
        </w:tc>
        <w:tc>
          <w:tcPr>
            <w:tcW w:w="6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F55889" w14:textId="345FB8FE" w:rsidR="0009450C" w:rsidRPr="00BB50F7" w:rsidRDefault="0009450C" w:rsidP="009B4A9C">
            <w:pPr>
              <w:jc w:val="center"/>
              <w:rPr>
                <w:rFonts w:ascii="Calibri" w:eastAsia="Times New Roman" w:hAnsi="Calibri" w:cs="Calibri"/>
              </w:rPr>
            </w:pPr>
            <w:r w:rsidRPr="00BB50F7">
              <w:rPr>
                <w:rFonts w:ascii="Calibri" w:eastAsia="Times New Roman" w:hAnsi="Calibri" w:cs="Calibri"/>
              </w:rPr>
              <w:t>40</w:t>
            </w:r>
            <w:r w:rsidR="007C5B99">
              <w:rPr>
                <w:rFonts w:ascii="Calibri" w:eastAsia="Times New Roman" w:hAnsi="Calibri" w:cs="Calibri"/>
              </w:rPr>
              <w:t>%</w:t>
            </w:r>
          </w:p>
        </w:tc>
      </w:tr>
      <w:tr w:rsidR="0009450C" w:rsidRPr="00BB50F7" w14:paraId="66573F8A" w14:textId="77777777" w:rsidTr="00853B58">
        <w:trPr>
          <w:divId w:val="1290626772"/>
          <w:trHeight w:val="552"/>
          <w:jc w:val="center"/>
        </w:trPr>
        <w:tc>
          <w:tcPr>
            <w:tcW w:w="14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781982" w14:textId="451CF4A6" w:rsidR="0009450C" w:rsidRPr="00BB50F7" w:rsidRDefault="00333FE6" w:rsidP="009B4A9C">
            <w:pPr>
              <w:rPr>
                <w:rFonts w:ascii="Calibri" w:eastAsia="Times New Roman" w:hAnsi="Calibri" w:cs="Calibri"/>
              </w:rPr>
            </w:pPr>
            <w:r>
              <w:rPr>
                <w:rFonts w:ascii="Calibri" w:eastAsia="Times New Roman" w:hAnsi="Calibri" w:cs="Calibri"/>
              </w:rPr>
              <w:t>Public/Private</w:t>
            </w:r>
            <w:r w:rsidR="00094CCD">
              <w:rPr>
                <w:rFonts w:ascii="Calibri" w:eastAsia="Times New Roman" w:hAnsi="Calibri" w:cs="Calibri"/>
              </w:rPr>
              <w:t xml:space="preserve"> Collaboration</w:t>
            </w:r>
          </w:p>
        </w:tc>
        <w:tc>
          <w:tcPr>
            <w:tcW w:w="29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7756AA" w14:textId="4210AC5D" w:rsidR="0009450C" w:rsidRPr="00BB50F7" w:rsidRDefault="00C06F85" w:rsidP="009B4A9C">
            <w:pPr>
              <w:rPr>
                <w:rFonts w:ascii="Calibri" w:eastAsia="Times New Roman" w:hAnsi="Calibri" w:cs="Calibri"/>
              </w:rPr>
            </w:pPr>
            <w:r w:rsidRPr="00C06F85">
              <w:rPr>
                <w:rFonts w:ascii="Calibri" w:eastAsia="Times New Roman" w:hAnsi="Calibri" w:cs="Calibri"/>
              </w:rPr>
              <w:t xml:space="preserve">Involves coordinating between public/private </w:t>
            </w:r>
            <w:proofErr w:type="gramStart"/>
            <w:r w:rsidRPr="00C06F85">
              <w:rPr>
                <w:rFonts w:ascii="Calibri" w:eastAsia="Times New Roman" w:hAnsi="Calibri" w:cs="Calibri"/>
              </w:rPr>
              <w:t>partner</w:t>
            </w:r>
            <w:proofErr w:type="gramEnd"/>
            <w:r w:rsidRPr="00C06F85">
              <w:rPr>
                <w:rFonts w:ascii="Calibri" w:eastAsia="Times New Roman" w:hAnsi="Calibri" w:cs="Calibri"/>
              </w:rPr>
              <w:t xml:space="preserve"> to enhance regional value</w:t>
            </w:r>
          </w:p>
        </w:tc>
        <w:tc>
          <w:tcPr>
            <w:tcW w:w="62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446157" w14:textId="5ACA4299" w:rsidR="0009450C" w:rsidRPr="00BB50F7" w:rsidRDefault="0009450C" w:rsidP="009B4A9C">
            <w:pPr>
              <w:jc w:val="center"/>
              <w:rPr>
                <w:rFonts w:ascii="Calibri" w:eastAsia="Times New Roman" w:hAnsi="Calibri" w:cs="Calibri"/>
              </w:rPr>
            </w:pPr>
            <w:r w:rsidRPr="00BB50F7">
              <w:rPr>
                <w:rFonts w:ascii="Calibri" w:eastAsia="Times New Roman" w:hAnsi="Calibri" w:cs="Calibri"/>
              </w:rPr>
              <w:t>10</w:t>
            </w:r>
            <w:r w:rsidR="007C5B99">
              <w:rPr>
                <w:rFonts w:ascii="Calibri" w:eastAsia="Times New Roman" w:hAnsi="Calibri" w:cs="Calibri"/>
              </w:rPr>
              <w:t>%</w:t>
            </w:r>
          </w:p>
        </w:tc>
      </w:tr>
      <w:tr w:rsidR="0009450C" w:rsidRPr="00BB50F7" w14:paraId="78196C4E" w14:textId="77777777" w:rsidTr="00853B58">
        <w:trPr>
          <w:divId w:val="1290626772"/>
          <w:trHeight w:val="150"/>
          <w:jc w:val="center"/>
        </w:trPr>
        <w:tc>
          <w:tcPr>
            <w:tcW w:w="1411" w:type="pct"/>
            <w:tcBorders>
              <w:top w:val="single" w:sz="6" w:space="0" w:color="000000"/>
              <w:left w:val="single" w:sz="6" w:space="0" w:color="000000"/>
              <w:bottom w:val="single" w:sz="6" w:space="0" w:color="000000"/>
              <w:right w:val="single" w:sz="6" w:space="0" w:color="000000"/>
            </w:tcBorders>
            <w:shd w:val="clear" w:color="auto" w:fill="E6E6E6"/>
            <w:tcMar>
              <w:top w:w="75" w:type="dxa"/>
              <w:left w:w="75" w:type="dxa"/>
              <w:bottom w:w="75" w:type="dxa"/>
              <w:right w:w="75" w:type="dxa"/>
            </w:tcMar>
            <w:vAlign w:val="center"/>
            <w:hideMark/>
          </w:tcPr>
          <w:p w14:paraId="3C2D7191" w14:textId="77777777" w:rsidR="0009450C" w:rsidRPr="00BB50F7" w:rsidRDefault="0009450C" w:rsidP="009B4A9C">
            <w:pPr>
              <w:rPr>
                <w:rFonts w:ascii="Calibri" w:eastAsia="Times New Roman" w:hAnsi="Calibri" w:cs="Calibri"/>
                <w:b/>
                <w:bCs/>
              </w:rPr>
            </w:pPr>
            <w:r w:rsidRPr="00BB50F7">
              <w:rPr>
                <w:rFonts w:ascii="Calibri" w:eastAsia="Times New Roman" w:hAnsi="Calibri" w:cs="Calibri"/>
                <w:b/>
                <w:bCs/>
              </w:rPr>
              <w:t>Total Points</w:t>
            </w:r>
          </w:p>
        </w:tc>
        <w:tc>
          <w:tcPr>
            <w:tcW w:w="2967" w:type="pct"/>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15" w:type="dxa"/>
            </w:tcMar>
          </w:tcPr>
          <w:p w14:paraId="366A98C0" w14:textId="77777777" w:rsidR="0009450C" w:rsidRPr="00BB50F7" w:rsidRDefault="0009450C" w:rsidP="009B4A9C">
            <w:pPr>
              <w:rPr>
                <w:rFonts w:ascii="Calibri" w:eastAsia="Times New Roman" w:hAnsi="Calibri" w:cs="Calibri"/>
                <w:b/>
                <w:bCs/>
              </w:rPr>
            </w:pPr>
          </w:p>
        </w:tc>
        <w:tc>
          <w:tcPr>
            <w:tcW w:w="622" w:type="pct"/>
            <w:tcBorders>
              <w:top w:val="single" w:sz="6" w:space="0" w:color="000000"/>
              <w:left w:val="single" w:sz="6" w:space="0" w:color="000000"/>
              <w:bottom w:val="single" w:sz="6" w:space="0" w:color="000000"/>
              <w:right w:val="single" w:sz="6" w:space="0" w:color="000000"/>
            </w:tcBorders>
            <w:shd w:val="clear" w:color="auto" w:fill="E6E6E6"/>
            <w:tcMar>
              <w:top w:w="75" w:type="dxa"/>
              <w:left w:w="75" w:type="dxa"/>
              <w:bottom w:w="75" w:type="dxa"/>
              <w:right w:w="75" w:type="dxa"/>
            </w:tcMar>
            <w:vAlign w:val="center"/>
            <w:hideMark/>
          </w:tcPr>
          <w:p w14:paraId="3272C5C2" w14:textId="4C68EA57" w:rsidR="0009450C" w:rsidRPr="00BB50F7" w:rsidRDefault="0009450C" w:rsidP="009B4A9C">
            <w:pPr>
              <w:jc w:val="center"/>
              <w:rPr>
                <w:rFonts w:ascii="Calibri" w:eastAsia="Times New Roman" w:hAnsi="Calibri" w:cs="Calibri"/>
                <w:b/>
                <w:bCs/>
              </w:rPr>
            </w:pPr>
            <w:r w:rsidRPr="00BB50F7">
              <w:rPr>
                <w:rFonts w:ascii="Calibri" w:eastAsia="Times New Roman" w:hAnsi="Calibri" w:cs="Calibri"/>
                <w:b/>
                <w:bCs/>
              </w:rPr>
              <w:t>100</w:t>
            </w:r>
            <w:r w:rsidR="007C5B99">
              <w:rPr>
                <w:rFonts w:ascii="Calibri" w:eastAsia="Times New Roman" w:hAnsi="Calibri" w:cs="Calibri"/>
                <w:b/>
                <w:bCs/>
              </w:rPr>
              <w:t>%</w:t>
            </w:r>
          </w:p>
        </w:tc>
      </w:tr>
    </w:tbl>
    <w:p w14:paraId="6FECAB2C" w14:textId="77777777" w:rsidR="0009450C" w:rsidRPr="00BB50F7" w:rsidRDefault="0009450C">
      <w:pPr>
        <w:divId w:val="1290626772"/>
        <w:rPr>
          <w:rFonts w:ascii="Calibri" w:eastAsia="Times New Roman" w:hAnsi="Calibri" w:cs="Calibri"/>
          <w:b/>
          <w:bCs/>
        </w:rPr>
      </w:pPr>
    </w:p>
    <w:p w14:paraId="44839E00" w14:textId="5D2222F3" w:rsidR="005437C7" w:rsidRPr="00BB50F7" w:rsidRDefault="0002750C">
      <w:pPr>
        <w:divId w:val="1290626772"/>
        <w:rPr>
          <w:rFonts w:ascii="Calibri" w:eastAsia="Times New Roman" w:hAnsi="Calibri" w:cs="Calibri"/>
          <w:b/>
          <w:bCs/>
        </w:rPr>
      </w:pPr>
      <w:r>
        <w:rPr>
          <w:rFonts w:ascii="Calibri" w:eastAsia="Times New Roman" w:hAnsi="Calibri" w:cs="Calibri"/>
          <w:b/>
          <w:bCs/>
        </w:rPr>
        <w:br/>
      </w:r>
      <w:r w:rsidR="005437C7" w:rsidRPr="00BB50F7">
        <w:rPr>
          <w:rFonts w:ascii="Calibri" w:eastAsia="Times New Roman" w:hAnsi="Calibri" w:cs="Calibri"/>
          <w:b/>
          <w:bCs/>
        </w:rPr>
        <w:t>APPLICATION PROCESS</w:t>
      </w:r>
    </w:p>
    <w:p w14:paraId="08513DD2" w14:textId="4807C6CE" w:rsidR="005437C7" w:rsidRPr="00BB50F7" w:rsidRDefault="005437C7">
      <w:pPr>
        <w:numPr>
          <w:ilvl w:val="0"/>
          <w:numId w:val="3"/>
        </w:numPr>
        <w:spacing w:before="100" w:beforeAutospacing="1" w:after="100" w:afterAutospacing="1"/>
        <w:rPr>
          <w:rFonts w:ascii="Calibri" w:eastAsia="Times New Roman" w:hAnsi="Calibri" w:cs="Calibri"/>
        </w:rPr>
      </w:pPr>
      <w:r w:rsidRPr="00BB50F7">
        <w:rPr>
          <w:rFonts w:ascii="Calibri" w:eastAsia="Times New Roman" w:hAnsi="Calibri" w:cs="Calibri"/>
        </w:rPr>
        <w:t>Applications and supplemental materials may be obtained online or by contacting NCTCOG staff</w:t>
      </w:r>
      <w:r w:rsidR="000F3018">
        <w:rPr>
          <w:rFonts w:ascii="Calibri" w:eastAsia="Times New Roman" w:hAnsi="Calibri" w:cs="Calibri"/>
        </w:rPr>
        <w:t>.</w:t>
      </w:r>
    </w:p>
    <w:p w14:paraId="2FBD5045" w14:textId="6D62B582" w:rsidR="005437C7" w:rsidRPr="001F2FC4" w:rsidRDefault="005437C7">
      <w:pPr>
        <w:numPr>
          <w:ilvl w:val="0"/>
          <w:numId w:val="3"/>
        </w:numPr>
        <w:spacing w:before="100" w:beforeAutospacing="1" w:after="100" w:afterAutospacing="1"/>
        <w:rPr>
          <w:rFonts w:ascii="Calibri" w:eastAsia="Times New Roman" w:hAnsi="Calibri" w:cs="Calibri"/>
        </w:rPr>
      </w:pPr>
      <w:r w:rsidRPr="001F2FC4">
        <w:rPr>
          <w:rFonts w:ascii="Calibri" w:eastAsia="Times New Roman" w:hAnsi="Calibri" w:cs="Calibri"/>
        </w:rPr>
        <w:t>Three (3) signed copies and supporting materials submitted “in hand” to NCTCOG offices, and one (1) electronic copy</w:t>
      </w:r>
      <w:r w:rsidR="000F3018" w:rsidRPr="001F2FC4">
        <w:rPr>
          <w:rFonts w:ascii="Calibri" w:eastAsia="Times New Roman" w:hAnsi="Calibri" w:cs="Calibri"/>
        </w:rPr>
        <w:t>.</w:t>
      </w:r>
    </w:p>
    <w:p w14:paraId="5C748361" w14:textId="77777777" w:rsidR="00AD3617" w:rsidRDefault="00AD3617">
      <w:pPr>
        <w:numPr>
          <w:ilvl w:val="0"/>
          <w:numId w:val="3"/>
        </w:numPr>
        <w:spacing w:before="100" w:beforeAutospacing="1" w:after="100" w:afterAutospacing="1"/>
        <w:rPr>
          <w:rFonts w:ascii="Calibri" w:eastAsia="Times New Roman" w:hAnsi="Calibri" w:cs="Calibri"/>
        </w:rPr>
      </w:pPr>
      <w:r w:rsidRPr="00AD3617">
        <w:rPr>
          <w:rFonts w:ascii="Calibri" w:eastAsia="Times New Roman" w:hAnsi="Calibri" w:cs="Calibri"/>
        </w:rPr>
        <w:t>Electronic documents must be submitted in PDF format.</w:t>
      </w:r>
    </w:p>
    <w:p w14:paraId="52CBFD53" w14:textId="7A1A4275" w:rsidR="005437C7" w:rsidRPr="00BB50F7" w:rsidRDefault="005437C7">
      <w:pPr>
        <w:numPr>
          <w:ilvl w:val="0"/>
          <w:numId w:val="3"/>
        </w:numPr>
        <w:spacing w:before="100" w:beforeAutospacing="1" w:after="100" w:afterAutospacing="1"/>
        <w:rPr>
          <w:rFonts w:ascii="Calibri" w:eastAsia="Times New Roman" w:hAnsi="Calibri" w:cs="Calibri"/>
        </w:rPr>
      </w:pPr>
      <w:r w:rsidRPr="00BB50F7">
        <w:rPr>
          <w:rFonts w:ascii="Calibri" w:eastAsia="Times New Roman" w:hAnsi="Calibri" w:cs="Calibri"/>
        </w:rPr>
        <w:t>Graphics (maps, diagrams, renderings): PDF, JPEG, or bitmap format</w:t>
      </w:r>
      <w:r w:rsidR="000F3018">
        <w:rPr>
          <w:rFonts w:ascii="Calibri" w:eastAsia="Times New Roman" w:hAnsi="Calibri" w:cs="Calibri"/>
        </w:rPr>
        <w:t>.</w:t>
      </w:r>
    </w:p>
    <w:p w14:paraId="76C23742" w14:textId="14EEAD34" w:rsidR="005437C7" w:rsidRPr="00BB50F7" w:rsidRDefault="005437C7">
      <w:pPr>
        <w:numPr>
          <w:ilvl w:val="0"/>
          <w:numId w:val="3"/>
        </w:numPr>
        <w:spacing w:before="100" w:beforeAutospacing="1" w:after="100" w:afterAutospacing="1"/>
        <w:rPr>
          <w:rFonts w:ascii="Calibri" w:eastAsia="Times New Roman" w:hAnsi="Calibri" w:cs="Calibri"/>
        </w:rPr>
      </w:pPr>
      <w:r w:rsidRPr="00BB50F7">
        <w:rPr>
          <w:rFonts w:ascii="Calibri" w:eastAsia="Times New Roman" w:hAnsi="Calibri" w:cs="Calibri"/>
        </w:rPr>
        <w:t>No supplemental information (other than administrative clarifications) will be accepted after the application deadline</w:t>
      </w:r>
      <w:r w:rsidR="000F3018">
        <w:rPr>
          <w:rFonts w:ascii="Calibri" w:eastAsia="Times New Roman" w:hAnsi="Calibri" w:cs="Calibri"/>
        </w:rPr>
        <w:t>.</w:t>
      </w:r>
    </w:p>
    <w:p w14:paraId="21C246CD" w14:textId="16469632" w:rsidR="00884AAF" w:rsidRPr="00884AAF" w:rsidRDefault="005437C7" w:rsidP="00884AAF">
      <w:pPr>
        <w:numPr>
          <w:ilvl w:val="0"/>
          <w:numId w:val="3"/>
        </w:numPr>
        <w:spacing w:before="100" w:beforeAutospacing="1" w:after="100" w:afterAutospacing="1"/>
        <w:rPr>
          <w:rFonts w:ascii="Calibri" w:eastAsia="Times New Roman" w:hAnsi="Calibri" w:cs="Calibri"/>
        </w:rPr>
      </w:pPr>
      <w:r w:rsidRPr="00BB50F7">
        <w:rPr>
          <w:rFonts w:ascii="Calibri" w:eastAsia="Times New Roman" w:hAnsi="Calibri" w:cs="Calibri"/>
        </w:rPr>
        <w:t xml:space="preserve">Deadline: </w:t>
      </w:r>
      <w:r w:rsidR="0044786B" w:rsidRPr="0044786B">
        <w:rPr>
          <w:rFonts w:ascii="Calibri" w:eastAsia="Times New Roman" w:hAnsi="Calibri" w:cs="Calibri"/>
        </w:rPr>
        <w:t xml:space="preserve">Applications must be </w:t>
      </w:r>
      <w:proofErr w:type="gramStart"/>
      <w:r w:rsidR="0044786B" w:rsidRPr="0044786B">
        <w:rPr>
          <w:rFonts w:ascii="Calibri" w:eastAsia="Times New Roman" w:hAnsi="Calibri" w:cs="Calibri"/>
        </w:rPr>
        <w:t>received in hand</w:t>
      </w:r>
      <w:proofErr w:type="gramEnd"/>
      <w:r w:rsidR="0044786B" w:rsidRPr="0044786B">
        <w:rPr>
          <w:rFonts w:ascii="Calibri" w:eastAsia="Times New Roman" w:hAnsi="Calibri" w:cs="Calibri"/>
        </w:rPr>
        <w:t xml:space="preserve"> by </w:t>
      </w:r>
      <w:r w:rsidR="0044786B" w:rsidRPr="0044786B">
        <w:rPr>
          <w:rFonts w:ascii="Calibri" w:eastAsia="Times New Roman" w:hAnsi="Calibri" w:cs="Calibri"/>
          <w:b/>
          <w:bCs/>
        </w:rPr>
        <w:t>5:00 pm CST on April 10, 2026</w:t>
      </w:r>
      <w:r w:rsidR="0044786B" w:rsidRPr="0044786B">
        <w:rPr>
          <w:rFonts w:ascii="Calibri" w:eastAsia="Times New Roman" w:hAnsi="Calibri" w:cs="Calibri"/>
        </w:rPr>
        <w:t>. A postmark does not constitute an on-time submission.</w:t>
      </w:r>
      <w:r w:rsidR="00884AAF">
        <w:rPr>
          <w:rFonts w:ascii="Calibri" w:eastAsia="Times New Roman" w:hAnsi="Calibri" w:cs="Calibri"/>
        </w:rPr>
        <w:br/>
      </w:r>
    </w:p>
    <w:p w14:paraId="0323B026" w14:textId="655C2177" w:rsidR="005437C7" w:rsidRPr="00BB50F7" w:rsidRDefault="005437C7">
      <w:pPr>
        <w:pStyle w:val="NormalWeb"/>
        <w:rPr>
          <w:rFonts w:ascii="Calibri" w:hAnsi="Calibri" w:cs="Calibri"/>
        </w:rPr>
      </w:pPr>
      <w:r w:rsidRPr="00BB50F7">
        <w:rPr>
          <w:rFonts w:ascii="Calibri" w:hAnsi="Calibri" w:cs="Calibri"/>
          <w:b/>
          <w:bCs/>
        </w:rPr>
        <w:t>Submittal Addresses:</w:t>
      </w:r>
      <w:r w:rsidRPr="00BB50F7">
        <w:rPr>
          <w:rFonts w:ascii="Calibri" w:hAnsi="Calibri" w:cs="Calibri"/>
        </w:rPr>
        <w:br/>
      </w:r>
      <w:r w:rsidRPr="00BB50F7">
        <w:rPr>
          <w:rFonts w:ascii="Calibri" w:hAnsi="Calibri" w:cs="Calibri"/>
          <w:b/>
          <w:bCs/>
        </w:rPr>
        <w:t>Mail:</w:t>
      </w:r>
      <w:r w:rsidRPr="00BB50F7">
        <w:rPr>
          <w:rFonts w:ascii="Calibri" w:hAnsi="Calibri" w:cs="Calibri"/>
        </w:rPr>
        <w:br/>
        <w:t>North Central Texas Council of Governments</w:t>
      </w:r>
      <w:r w:rsidRPr="00BB50F7">
        <w:rPr>
          <w:rFonts w:ascii="Calibri" w:hAnsi="Calibri" w:cs="Calibri"/>
        </w:rPr>
        <w:br/>
        <w:t>Transportation Department – Technology and Innovation</w:t>
      </w:r>
      <w:r w:rsidRPr="00BB50F7">
        <w:rPr>
          <w:rFonts w:ascii="Calibri" w:hAnsi="Calibri" w:cs="Calibri"/>
        </w:rPr>
        <w:br/>
        <w:t>Attn: Braulio Bessa</w:t>
      </w:r>
      <w:r w:rsidRPr="00BB50F7">
        <w:rPr>
          <w:rFonts w:ascii="Calibri" w:hAnsi="Calibri" w:cs="Calibri"/>
        </w:rPr>
        <w:br/>
        <w:t>P.O. Box 5888</w:t>
      </w:r>
      <w:r w:rsidRPr="00BB50F7">
        <w:rPr>
          <w:rFonts w:ascii="Calibri" w:hAnsi="Calibri" w:cs="Calibri"/>
        </w:rPr>
        <w:br/>
        <w:t>Arlington, Texas 76005-5888</w:t>
      </w:r>
      <w:r w:rsidRPr="00BB50F7">
        <w:rPr>
          <w:rFonts w:ascii="Calibri" w:hAnsi="Calibri" w:cs="Calibri"/>
        </w:rPr>
        <w:br/>
      </w:r>
      <w:r w:rsidRPr="00BB50F7">
        <w:rPr>
          <w:rFonts w:ascii="Calibri" w:hAnsi="Calibri" w:cs="Calibri"/>
        </w:rPr>
        <w:br/>
      </w:r>
      <w:r w:rsidRPr="00BB50F7">
        <w:rPr>
          <w:rFonts w:ascii="Calibri" w:hAnsi="Calibri" w:cs="Calibri"/>
          <w:b/>
          <w:bCs/>
        </w:rPr>
        <w:lastRenderedPageBreak/>
        <w:t>Physical Location:</w:t>
      </w:r>
      <w:r w:rsidRPr="00BB50F7">
        <w:rPr>
          <w:rFonts w:ascii="Calibri" w:hAnsi="Calibri" w:cs="Calibri"/>
        </w:rPr>
        <w:br/>
        <w:t>North Central Texas Council of Governments</w:t>
      </w:r>
      <w:r w:rsidRPr="00BB50F7">
        <w:rPr>
          <w:rFonts w:ascii="Calibri" w:hAnsi="Calibri" w:cs="Calibri"/>
        </w:rPr>
        <w:br/>
        <w:t>Transportation Department – Technology and Innovation</w:t>
      </w:r>
      <w:r w:rsidRPr="00BB50F7">
        <w:rPr>
          <w:rFonts w:ascii="Calibri" w:hAnsi="Calibri" w:cs="Calibri"/>
        </w:rPr>
        <w:br/>
        <w:t>616 Six Flags Drive</w:t>
      </w:r>
      <w:r w:rsidRPr="00BB50F7">
        <w:rPr>
          <w:rFonts w:ascii="Calibri" w:hAnsi="Calibri" w:cs="Calibri"/>
        </w:rPr>
        <w:br/>
        <w:t xml:space="preserve">Arlington, Texas 76011 </w:t>
      </w:r>
    </w:p>
    <w:p w14:paraId="0B2965FE" w14:textId="77777777" w:rsidR="005437C7" w:rsidRPr="00BB50F7" w:rsidRDefault="005437C7">
      <w:pPr>
        <w:divId w:val="2092964100"/>
        <w:rPr>
          <w:rFonts w:ascii="Calibri" w:eastAsia="Times New Roman" w:hAnsi="Calibri" w:cs="Calibri"/>
          <w:b/>
          <w:bCs/>
        </w:rPr>
      </w:pPr>
      <w:r w:rsidRPr="00BB50F7">
        <w:rPr>
          <w:rFonts w:ascii="Calibri" w:eastAsia="Times New Roman" w:hAnsi="Calibri" w:cs="Calibri"/>
          <w:b/>
          <w:bCs/>
        </w:rPr>
        <w:t>FUNDING ADMINISTRATION AND REIMBURSEMENT OF EXPENSES</w:t>
      </w:r>
    </w:p>
    <w:p w14:paraId="4E3A7FFD" w14:textId="05EFA9DD" w:rsidR="005437C7" w:rsidRPr="00BB50F7" w:rsidRDefault="005437C7">
      <w:pPr>
        <w:numPr>
          <w:ilvl w:val="0"/>
          <w:numId w:val="4"/>
        </w:numPr>
        <w:spacing w:before="100" w:beforeAutospacing="1" w:after="100" w:afterAutospacing="1"/>
        <w:rPr>
          <w:rFonts w:ascii="Calibri" w:eastAsia="Times New Roman" w:hAnsi="Calibri" w:cs="Calibri"/>
        </w:rPr>
      </w:pPr>
      <w:r w:rsidRPr="00BB50F7">
        <w:rPr>
          <w:rFonts w:ascii="Calibri" w:eastAsia="Times New Roman" w:hAnsi="Calibri" w:cs="Calibri"/>
        </w:rPr>
        <w:t>Selected applicants will be notified in writing of their selection and the funding amount awarded</w:t>
      </w:r>
      <w:r w:rsidR="003C19C6">
        <w:rPr>
          <w:rFonts w:ascii="Calibri" w:eastAsia="Times New Roman" w:hAnsi="Calibri" w:cs="Calibri"/>
        </w:rPr>
        <w:t>.</w:t>
      </w:r>
    </w:p>
    <w:p w14:paraId="16E03B30" w14:textId="6061BBF5" w:rsidR="00E42060" w:rsidRPr="00BB50F7" w:rsidRDefault="00E42060" w:rsidP="00E42060">
      <w:pPr>
        <w:numPr>
          <w:ilvl w:val="0"/>
          <w:numId w:val="4"/>
        </w:numPr>
        <w:spacing w:before="100" w:beforeAutospacing="1" w:after="100" w:afterAutospacing="1"/>
        <w:rPr>
          <w:rFonts w:ascii="Calibri" w:eastAsia="Times New Roman" w:hAnsi="Calibri" w:cs="Calibri"/>
        </w:rPr>
      </w:pPr>
      <w:r w:rsidRPr="00BB50F7">
        <w:rPr>
          <w:rFonts w:ascii="Calibri" w:eastAsia="Times New Roman" w:hAnsi="Calibri" w:cs="Calibri"/>
        </w:rPr>
        <w:t xml:space="preserve">Agencies must </w:t>
      </w:r>
      <w:proofErr w:type="gramStart"/>
      <w:r w:rsidRPr="00BB50F7">
        <w:rPr>
          <w:rFonts w:ascii="Calibri" w:eastAsia="Times New Roman" w:hAnsi="Calibri" w:cs="Calibri"/>
        </w:rPr>
        <w:t>enter into</w:t>
      </w:r>
      <w:proofErr w:type="gramEnd"/>
      <w:r w:rsidRPr="00BB50F7">
        <w:rPr>
          <w:rFonts w:ascii="Calibri" w:eastAsia="Times New Roman" w:hAnsi="Calibri" w:cs="Calibri"/>
        </w:rPr>
        <w:t xml:space="preserve"> </w:t>
      </w:r>
      <w:r w:rsidR="00774ECF" w:rsidRPr="00BB50F7">
        <w:rPr>
          <w:rFonts w:ascii="Calibri" w:eastAsia="Times New Roman" w:hAnsi="Calibri" w:cs="Calibri"/>
        </w:rPr>
        <w:t>an</w:t>
      </w:r>
      <w:r w:rsidRPr="00BB50F7">
        <w:rPr>
          <w:rFonts w:ascii="Calibri" w:eastAsia="Times New Roman" w:hAnsi="Calibri" w:cs="Calibri"/>
        </w:rPr>
        <w:t xml:space="preserve"> </w:t>
      </w:r>
      <w:r w:rsidR="00373C39">
        <w:rPr>
          <w:rFonts w:ascii="Calibri" w:eastAsia="Times New Roman" w:hAnsi="Calibri" w:cs="Calibri"/>
        </w:rPr>
        <w:t>interlocal</w:t>
      </w:r>
      <w:r w:rsidRPr="00BB50F7">
        <w:rPr>
          <w:rFonts w:ascii="Calibri" w:eastAsia="Times New Roman" w:hAnsi="Calibri" w:cs="Calibri"/>
        </w:rPr>
        <w:t xml:space="preserve"> agreement with </w:t>
      </w:r>
      <w:r w:rsidR="00373C39">
        <w:rPr>
          <w:rFonts w:ascii="Calibri" w:eastAsia="Times New Roman" w:hAnsi="Calibri" w:cs="Calibri"/>
        </w:rPr>
        <w:t>NCTCOG</w:t>
      </w:r>
      <w:r w:rsidR="003C19C6">
        <w:rPr>
          <w:rFonts w:ascii="Calibri" w:eastAsia="Times New Roman" w:hAnsi="Calibri" w:cs="Calibri"/>
        </w:rPr>
        <w:t>.</w:t>
      </w:r>
    </w:p>
    <w:p w14:paraId="65E01F82" w14:textId="1FB043FA" w:rsidR="005437C7" w:rsidRPr="00BB50F7" w:rsidRDefault="00E42060" w:rsidP="00E42060">
      <w:pPr>
        <w:numPr>
          <w:ilvl w:val="0"/>
          <w:numId w:val="4"/>
        </w:numPr>
        <w:spacing w:before="100" w:beforeAutospacing="1" w:after="100" w:afterAutospacing="1"/>
        <w:rPr>
          <w:rFonts w:ascii="Calibri" w:eastAsia="Times New Roman" w:hAnsi="Calibri" w:cs="Calibri"/>
        </w:rPr>
      </w:pPr>
      <w:r w:rsidRPr="00BB50F7">
        <w:rPr>
          <w:rFonts w:ascii="Calibri" w:eastAsia="Times New Roman" w:hAnsi="Calibri" w:cs="Calibri"/>
        </w:rPr>
        <w:t xml:space="preserve">Project activities may not begin until the agreement with </w:t>
      </w:r>
      <w:r w:rsidR="00774ECF">
        <w:rPr>
          <w:rFonts w:ascii="Calibri" w:eastAsia="Times New Roman" w:hAnsi="Calibri" w:cs="Calibri"/>
        </w:rPr>
        <w:t>NCTCOG</w:t>
      </w:r>
      <w:r w:rsidR="00774ECF" w:rsidRPr="00BB50F7">
        <w:rPr>
          <w:rFonts w:ascii="Calibri" w:eastAsia="Times New Roman" w:hAnsi="Calibri" w:cs="Calibri"/>
        </w:rPr>
        <w:t xml:space="preserve"> </w:t>
      </w:r>
      <w:r w:rsidRPr="00BB50F7">
        <w:rPr>
          <w:rFonts w:ascii="Calibri" w:eastAsia="Times New Roman" w:hAnsi="Calibri" w:cs="Calibri"/>
        </w:rPr>
        <w:t>is executed.</w:t>
      </w:r>
    </w:p>
    <w:p w14:paraId="62259D02" w14:textId="4B1B1909" w:rsidR="005437C7" w:rsidRPr="00BB50F7" w:rsidRDefault="005437C7">
      <w:pPr>
        <w:numPr>
          <w:ilvl w:val="0"/>
          <w:numId w:val="4"/>
        </w:numPr>
        <w:spacing w:before="100" w:beforeAutospacing="1" w:after="100" w:afterAutospacing="1"/>
        <w:rPr>
          <w:rFonts w:ascii="Calibri" w:eastAsia="Times New Roman" w:hAnsi="Calibri" w:cs="Calibri"/>
        </w:rPr>
      </w:pPr>
      <w:r w:rsidRPr="00BB50F7">
        <w:rPr>
          <w:rFonts w:ascii="Calibri" w:eastAsia="Times New Roman" w:hAnsi="Calibri" w:cs="Calibri"/>
        </w:rPr>
        <w:t>Reimbursement requests must include itemized expenses and supporting documentation</w:t>
      </w:r>
      <w:r w:rsidR="003C19C6">
        <w:rPr>
          <w:rFonts w:ascii="Calibri" w:eastAsia="Times New Roman" w:hAnsi="Calibri" w:cs="Calibri"/>
        </w:rPr>
        <w:t>.</w:t>
      </w:r>
    </w:p>
    <w:p w14:paraId="36872AA5" w14:textId="699C41D0" w:rsidR="007A03B9" w:rsidRPr="00BB50F7" w:rsidRDefault="005437C7" w:rsidP="007A03B9">
      <w:pPr>
        <w:numPr>
          <w:ilvl w:val="0"/>
          <w:numId w:val="4"/>
        </w:numPr>
        <w:spacing w:before="100" w:beforeAutospacing="1" w:after="100" w:afterAutospacing="1"/>
        <w:rPr>
          <w:rFonts w:ascii="Calibri" w:eastAsia="Times New Roman" w:hAnsi="Calibri" w:cs="Calibri"/>
        </w:rPr>
      </w:pPr>
      <w:r w:rsidRPr="00BB50F7">
        <w:rPr>
          <w:rFonts w:ascii="Calibri" w:eastAsia="Times New Roman" w:hAnsi="Calibri" w:cs="Calibri"/>
        </w:rPr>
        <w:t>Costs must be reasonable, necessary, actual, and eligible under the program guidelines</w:t>
      </w:r>
      <w:r w:rsidR="003C19C6">
        <w:rPr>
          <w:rFonts w:ascii="Calibri" w:eastAsia="Times New Roman" w:hAnsi="Calibri" w:cs="Calibri"/>
        </w:rPr>
        <w:t>.</w:t>
      </w:r>
    </w:p>
    <w:p w14:paraId="0D7DAF10" w14:textId="108EDC06" w:rsidR="00F40506" w:rsidRPr="00BB50F7" w:rsidRDefault="005437C7" w:rsidP="0009450C">
      <w:pPr>
        <w:spacing w:before="480"/>
        <w:divId w:val="1728139600"/>
        <w:rPr>
          <w:rFonts w:ascii="Calibri" w:eastAsia="Times New Roman" w:hAnsi="Calibri" w:cs="Calibri"/>
          <w:b/>
          <w:bCs/>
        </w:rPr>
      </w:pPr>
      <w:r w:rsidRPr="00BB50F7">
        <w:rPr>
          <w:rFonts w:ascii="Calibri" w:eastAsia="Times New Roman" w:hAnsi="Calibri" w:cs="Calibri"/>
          <w:b/>
          <w:bCs/>
        </w:rPr>
        <w:t>SCHEDULE</w:t>
      </w:r>
      <w:r w:rsidR="00F40506" w:rsidRPr="00BB50F7">
        <w:rPr>
          <w:rFonts w:ascii="Calibri" w:eastAsia="Times New Roman" w:hAnsi="Calibri" w:cs="Calibri"/>
          <w:b/>
          <w:bCs/>
        </w:rPr>
        <w:br/>
      </w:r>
    </w:p>
    <w:p w14:paraId="34828EC6" w14:textId="781936C6" w:rsidR="0009450C" w:rsidRPr="00BB50F7" w:rsidRDefault="00A746C0" w:rsidP="0009450C">
      <w:pPr>
        <w:divId w:val="1728139600"/>
        <w:rPr>
          <w:rFonts w:ascii="Calibri" w:eastAsia="Times New Roman" w:hAnsi="Calibri" w:cs="Calibri"/>
          <w:b/>
          <w:bCs/>
        </w:rPr>
      </w:pPr>
      <w:r>
        <w:rPr>
          <w:rFonts w:ascii="Calibri" w:eastAsia="Times New Roman" w:hAnsi="Calibri" w:cs="Calibri"/>
          <w:b/>
          <w:bCs/>
          <w:noProof/>
        </w:rPr>
        <w:drawing>
          <wp:inline distT="0" distB="0" distL="0" distR="0" wp14:anchorId="38AE534E" wp14:editId="66B23E2D">
            <wp:extent cx="4761699" cy="4237912"/>
            <wp:effectExtent l="0" t="0" r="1270" b="0"/>
            <wp:docPr id="1414999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99908" name="Picture 2"/>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4761699" cy="4237912"/>
                    </a:xfrm>
                    <a:prstGeom prst="rect">
                      <a:avLst/>
                    </a:prstGeom>
                  </pic:spPr>
                </pic:pic>
              </a:graphicData>
            </a:graphic>
          </wp:inline>
        </w:drawing>
      </w:r>
    </w:p>
    <w:p w14:paraId="55415516" w14:textId="77777777" w:rsidR="0002750C" w:rsidRDefault="0002750C" w:rsidP="00E02554">
      <w:pPr>
        <w:pStyle w:val="Default"/>
        <w:divId w:val="1728139600"/>
        <w:rPr>
          <w:rFonts w:ascii="Calibri" w:eastAsia="Times New Roman" w:hAnsi="Calibri" w:cs="Calibri"/>
          <w:b/>
          <w:bCs/>
        </w:rPr>
      </w:pPr>
    </w:p>
    <w:p w14:paraId="49BDA438" w14:textId="77777777" w:rsidR="00057F3D" w:rsidRDefault="00057F3D" w:rsidP="00E02554">
      <w:pPr>
        <w:pStyle w:val="Default"/>
        <w:divId w:val="1728139600"/>
        <w:rPr>
          <w:rFonts w:ascii="Calibri" w:eastAsia="Times New Roman" w:hAnsi="Calibri" w:cs="Calibri"/>
          <w:b/>
          <w:bCs/>
        </w:rPr>
      </w:pPr>
    </w:p>
    <w:p w14:paraId="1BB7E773" w14:textId="77777777" w:rsidR="00D5496A" w:rsidRDefault="00D5496A" w:rsidP="00E02554">
      <w:pPr>
        <w:pStyle w:val="Default"/>
        <w:divId w:val="1728139600"/>
        <w:rPr>
          <w:rFonts w:ascii="Calibri" w:eastAsia="Times New Roman" w:hAnsi="Calibri" w:cs="Calibri"/>
          <w:b/>
          <w:bCs/>
        </w:rPr>
      </w:pPr>
    </w:p>
    <w:p w14:paraId="5B415A88" w14:textId="77777777" w:rsidR="00057F3D" w:rsidRDefault="00057F3D" w:rsidP="00E02554">
      <w:pPr>
        <w:pStyle w:val="Default"/>
        <w:divId w:val="1728139600"/>
        <w:rPr>
          <w:rFonts w:ascii="Calibri" w:eastAsia="Times New Roman" w:hAnsi="Calibri" w:cs="Calibri"/>
          <w:b/>
          <w:bCs/>
        </w:rPr>
      </w:pPr>
    </w:p>
    <w:p w14:paraId="53B49FEA" w14:textId="0A4769CF" w:rsidR="005437C7" w:rsidRPr="00BB50F7" w:rsidRDefault="005437C7" w:rsidP="00E02554">
      <w:pPr>
        <w:pStyle w:val="Default"/>
        <w:divId w:val="1728139600"/>
        <w:rPr>
          <w:rFonts w:ascii="Calibri" w:hAnsi="Calibri" w:cs="Calibri"/>
          <w:b/>
          <w:color w:val="auto"/>
        </w:rPr>
      </w:pPr>
      <w:r w:rsidRPr="00BB50F7">
        <w:rPr>
          <w:rFonts w:ascii="Calibri" w:eastAsia="Times New Roman" w:hAnsi="Calibri" w:cs="Calibri"/>
          <w:b/>
          <w:bCs/>
        </w:rPr>
        <w:lastRenderedPageBreak/>
        <w:t>CONTACT INFORMATION</w:t>
      </w:r>
    </w:p>
    <w:p w14:paraId="0A663BE7" w14:textId="6BA655C8" w:rsidR="00243FAD" w:rsidRPr="00BB50F7" w:rsidRDefault="0002750C">
      <w:pPr>
        <w:pStyle w:val="NormalWeb"/>
        <w:rPr>
          <w:rFonts w:ascii="Calibri" w:hAnsi="Calibri" w:cs="Calibri"/>
          <w:b/>
          <w:bCs/>
        </w:rPr>
      </w:pPr>
      <w:r>
        <w:rPr>
          <w:rFonts w:ascii="Calibri" w:hAnsi="Calibri" w:cs="Calibri"/>
          <w:b/>
          <w:bCs/>
        </w:rPr>
        <w:br/>
      </w:r>
      <w:r w:rsidR="005437C7" w:rsidRPr="00BB50F7">
        <w:rPr>
          <w:rFonts w:ascii="Calibri" w:hAnsi="Calibri" w:cs="Calibri"/>
          <w:b/>
          <w:bCs/>
        </w:rPr>
        <w:t>NCTCOG PROJECT STAFF:</w:t>
      </w:r>
    </w:p>
    <w:p w14:paraId="5367B2A4" w14:textId="78BA7C62" w:rsidR="005437C7" w:rsidRPr="00BB50F7" w:rsidRDefault="00243FAD">
      <w:pPr>
        <w:pStyle w:val="NormalWeb"/>
        <w:rPr>
          <w:rFonts w:ascii="Calibri" w:hAnsi="Calibri" w:cs="Calibri"/>
        </w:rPr>
      </w:pPr>
      <w:r w:rsidRPr="00BB50F7">
        <w:rPr>
          <w:rFonts w:ascii="Calibri" w:hAnsi="Calibri" w:cs="Calibri"/>
        </w:rPr>
        <w:t>Natalie Bettger</w:t>
      </w:r>
      <w:r w:rsidRPr="00BB50F7">
        <w:rPr>
          <w:rFonts w:ascii="Calibri" w:hAnsi="Calibri" w:cs="Calibri"/>
        </w:rPr>
        <w:br/>
        <w:t>Senior Program Manager</w:t>
      </w:r>
      <w:r w:rsidRPr="00BB50F7">
        <w:rPr>
          <w:rFonts w:ascii="Calibri" w:hAnsi="Calibri" w:cs="Calibri"/>
        </w:rPr>
        <w:br/>
        <w:t>Transportation Department</w:t>
      </w:r>
      <w:r w:rsidRPr="00BB50F7">
        <w:rPr>
          <w:rFonts w:ascii="Calibri" w:hAnsi="Calibri" w:cs="Calibri"/>
        </w:rPr>
        <w:br/>
        <w:t>Email: nbettger@nctcog.org</w:t>
      </w:r>
      <w:r w:rsidRPr="00BB50F7">
        <w:rPr>
          <w:rFonts w:ascii="Calibri" w:hAnsi="Calibri" w:cs="Calibri"/>
        </w:rPr>
        <w:br/>
        <w:t xml:space="preserve">Phone: (817) 695-9280 </w:t>
      </w:r>
      <w:r w:rsidRPr="00BB50F7">
        <w:rPr>
          <w:rFonts w:ascii="Calibri" w:hAnsi="Calibri" w:cs="Calibri"/>
        </w:rPr>
        <w:br/>
      </w:r>
      <w:r w:rsidR="005437C7" w:rsidRPr="00BB50F7">
        <w:rPr>
          <w:rFonts w:ascii="Calibri" w:hAnsi="Calibri" w:cs="Calibri"/>
        </w:rPr>
        <w:br/>
        <w:t>Braulio Bessa</w:t>
      </w:r>
      <w:r w:rsidR="005437C7" w:rsidRPr="00BB50F7">
        <w:rPr>
          <w:rFonts w:ascii="Calibri" w:hAnsi="Calibri" w:cs="Calibri"/>
        </w:rPr>
        <w:br/>
        <w:t>Transportation Planner II</w:t>
      </w:r>
      <w:r w:rsidR="005437C7" w:rsidRPr="00BB50F7">
        <w:rPr>
          <w:rFonts w:ascii="Calibri" w:hAnsi="Calibri" w:cs="Calibri"/>
        </w:rPr>
        <w:br/>
        <w:t xml:space="preserve">Transportation Department </w:t>
      </w:r>
      <w:r w:rsidRPr="00BB50F7">
        <w:rPr>
          <w:rFonts w:ascii="Calibri" w:hAnsi="Calibri" w:cs="Calibri"/>
        </w:rPr>
        <w:br/>
      </w:r>
      <w:r w:rsidR="005437C7" w:rsidRPr="00BB50F7">
        <w:rPr>
          <w:rFonts w:ascii="Calibri" w:hAnsi="Calibri" w:cs="Calibri"/>
        </w:rPr>
        <w:t>Technology and Innovation</w:t>
      </w:r>
      <w:r w:rsidR="005437C7" w:rsidRPr="00BB50F7">
        <w:rPr>
          <w:rFonts w:ascii="Calibri" w:hAnsi="Calibri" w:cs="Calibri"/>
        </w:rPr>
        <w:br/>
        <w:t>Email: bbessa@nctcog.org</w:t>
      </w:r>
      <w:r w:rsidR="005437C7" w:rsidRPr="00BB50F7">
        <w:rPr>
          <w:rFonts w:ascii="Calibri" w:hAnsi="Calibri" w:cs="Calibri"/>
        </w:rPr>
        <w:br/>
        <w:t xml:space="preserve">Phone: (817) 640-7806 </w:t>
      </w:r>
      <w:r w:rsidR="0049702C">
        <w:rPr>
          <w:rFonts w:ascii="Calibri" w:hAnsi="Calibri" w:cs="Calibri"/>
        </w:rPr>
        <w:br/>
      </w:r>
      <w:r w:rsidR="0049702C">
        <w:rPr>
          <w:rFonts w:ascii="Calibri" w:hAnsi="Calibri" w:cs="Calibri"/>
        </w:rPr>
        <w:br/>
      </w:r>
    </w:p>
    <w:p w14:paraId="6116BA41" w14:textId="77777777" w:rsidR="005437C7" w:rsidRPr="00BB50F7" w:rsidRDefault="005437C7">
      <w:pPr>
        <w:pStyle w:val="NormalWeb"/>
        <w:rPr>
          <w:rFonts w:ascii="Calibri" w:hAnsi="Calibri" w:cs="Calibri"/>
          <w:color w:val="444444"/>
        </w:rPr>
      </w:pPr>
      <w:r w:rsidRPr="00BB50F7">
        <w:rPr>
          <w:rFonts w:ascii="Calibri" w:hAnsi="Calibri" w:cs="Calibri"/>
          <w:color w:val="444444"/>
        </w:rPr>
        <w:t>For additional information or questions, contact the NCTCOG Transportation Department.</w:t>
      </w:r>
    </w:p>
    <w:p w14:paraId="737FE421" w14:textId="77777777" w:rsidR="00EF1F12" w:rsidRPr="00BB50F7" w:rsidRDefault="00EF1F12">
      <w:pPr>
        <w:pStyle w:val="NormalWeb"/>
        <w:rPr>
          <w:rFonts w:ascii="Calibri" w:hAnsi="Calibri" w:cs="Calibri"/>
          <w:color w:val="444444"/>
        </w:rPr>
      </w:pPr>
    </w:p>
    <w:p w14:paraId="3FF435D1" w14:textId="77777777" w:rsidR="005437C7" w:rsidRPr="00BB50F7" w:rsidRDefault="005437C7" w:rsidP="0009450C">
      <w:pPr>
        <w:pStyle w:val="NormalWeb"/>
        <w:jc w:val="center"/>
        <w:rPr>
          <w:rFonts w:ascii="Calibri" w:hAnsi="Calibri" w:cs="Calibri"/>
          <w:color w:val="333333"/>
          <w:sz w:val="22"/>
          <w:szCs w:val="22"/>
        </w:rPr>
      </w:pPr>
      <w:r w:rsidRPr="00BB50F7">
        <w:rPr>
          <w:rFonts w:ascii="Calibri" w:hAnsi="Calibri" w:cs="Calibri"/>
          <w:i/>
          <w:iCs/>
          <w:color w:val="333333"/>
          <w:sz w:val="22"/>
          <w:szCs w:val="22"/>
        </w:rPr>
        <w:t>End of Document</w:t>
      </w:r>
    </w:p>
    <w:sectPr w:rsidR="005437C7" w:rsidRPr="00BB50F7" w:rsidSect="00087EB8">
      <w:footerReference w:type="default" r:id="rId14"/>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39BC" w14:textId="77777777" w:rsidR="00135628" w:rsidRDefault="00135628" w:rsidP="00AF78BB">
      <w:r>
        <w:separator/>
      </w:r>
    </w:p>
  </w:endnote>
  <w:endnote w:type="continuationSeparator" w:id="0">
    <w:p w14:paraId="2CCBE46F" w14:textId="77777777" w:rsidR="00135628" w:rsidRDefault="00135628" w:rsidP="00AF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10087"/>
      <w:docPartObj>
        <w:docPartGallery w:val="Page Numbers (Bottom of Page)"/>
        <w:docPartUnique/>
      </w:docPartObj>
    </w:sdtPr>
    <w:sdtEndPr>
      <w:rPr>
        <w:noProof/>
      </w:rPr>
    </w:sdtEndPr>
    <w:sdtContent>
      <w:p w14:paraId="5DBF3732" w14:textId="3B92A592" w:rsidR="001C0B88" w:rsidRDefault="001C0B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B2285E" w14:textId="7D583889" w:rsidR="00AF78BB" w:rsidRDefault="00AF78BB" w:rsidP="000641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C7E1" w14:textId="77777777" w:rsidR="00135628" w:rsidRDefault="00135628" w:rsidP="00AF78BB">
      <w:r>
        <w:separator/>
      </w:r>
    </w:p>
  </w:footnote>
  <w:footnote w:type="continuationSeparator" w:id="0">
    <w:p w14:paraId="30009D90" w14:textId="77777777" w:rsidR="00135628" w:rsidRDefault="00135628" w:rsidP="00AF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1973D62"/>
    <w:multiLevelType w:val="multilevel"/>
    <w:tmpl w:val="1400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1EF2"/>
    <w:multiLevelType w:val="hybridMultilevel"/>
    <w:tmpl w:val="AC34E74A"/>
    <w:lvl w:ilvl="0" w:tplc="B6F44D68">
      <w:start w:val="1"/>
      <w:numFmt w:val="bullet"/>
      <w:lvlText w:val=""/>
      <w:lvlJc w:val="left"/>
      <w:pPr>
        <w:ind w:left="720" w:hanging="360"/>
      </w:pPr>
      <w:rPr>
        <w:rFonts w:ascii="Symbol" w:hAnsi="Symbol"/>
      </w:rPr>
    </w:lvl>
    <w:lvl w:ilvl="1" w:tplc="EBDAB944">
      <w:start w:val="1"/>
      <w:numFmt w:val="bullet"/>
      <w:lvlText w:val=""/>
      <w:lvlJc w:val="left"/>
      <w:pPr>
        <w:ind w:left="720" w:hanging="360"/>
      </w:pPr>
      <w:rPr>
        <w:rFonts w:ascii="Symbol" w:hAnsi="Symbol"/>
      </w:rPr>
    </w:lvl>
    <w:lvl w:ilvl="2" w:tplc="FBD607F0">
      <w:start w:val="1"/>
      <w:numFmt w:val="bullet"/>
      <w:lvlText w:val=""/>
      <w:lvlJc w:val="left"/>
      <w:pPr>
        <w:ind w:left="720" w:hanging="360"/>
      </w:pPr>
      <w:rPr>
        <w:rFonts w:ascii="Symbol" w:hAnsi="Symbol"/>
      </w:rPr>
    </w:lvl>
    <w:lvl w:ilvl="3" w:tplc="EB42D1C6">
      <w:start w:val="1"/>
      <w:numFmt w:val="bullet"/>
      <w:lvlText w:val=""/>
      <w:lvlJc w:val="left"/>
      <w:pPr>
        <w:ind w:left="720" w:hanging="360"/>
      </w:pPr>
      <w:rPr>
        <w:rFonts w:ascii="Symbol" w:hAnsi="Symbol"/>
      </w:rPr>
    </w:lvl>
    <w:lvl w:ilvl="4" w:tplc="2CF06E6A">
      <w:start w:val="1"/>
      <w:numFmt w:val="bullet"/>
      <w:lvlText w:val=""/>
      <w:lvlJc w:val="left"/>
      <w:pPr>
        <w:ind w:left="720" w:hanging="360"/>
      </w:pPr>
      <w:rPr>
        <w:rFonts w:ascii="Symbol" w:hAnsi="Symbol"/>
      </w:rPr>
    </w:lvl>
    <w:lvl w:ilvl="5" w:tplc="628ADD9A">
      <w:start w:val="1"/>
      <w:numFmt w:val="bullet"/>
      <w:lvlText w:val=""/>
      <w:lvlJc w:val="left"/>
      <w:pPr>
        <w:ind w:left="720" w:hanging="360"/>
      </w:pPr>
      <w:rPr>
        <w:rFonts w:ascii="Symbol" w:hAnsi="Symbol"/>
      </w:rPr>
    </w:lvl>
    <w:lvl w:ilvl="6" w:tplc="FA9616F2">
      <w:start w:val="1"/>
      <w:numFmt w:val="bullet"/>
      <w:lvlText w:val=""/>
      <w:lvlJc w:val="left"/>
      <w:pPr>
        <w:ind w:left="720" w:hanging="360"/>
      </w:pPr>
      <w:rPr>
        <w:rFonts w:ascii="Symbol" w:hAnsi="Symbol"/>
      </w:rPr>
    </w:lvl>
    <w:lvl w:ilvl="7" w:tplc="AAA4DC2A">
      <w:start w:val="1"/>
      <w:numFmt w:val="bullet"/>
      <w:lvlText w:val=""/>
      <w:lvlJc w:val="left"/>
      <w:pPr>
        <w:ind w:left="720" w:hanging="360"/>
      </w:pPr>
      <w:rPr>
        <w:rFonts w:ascii="Symbol" w:hAnsi="Symbol"/>
      </w:rPr>
    </w:lvl>
    <w:lvl w:ilvl="8" w:tplc="D51E9868">
      <w:start w:val="1"/>
      <w:numFmt w:val="bullet"/>
      <w:lvlText w:val=""/>
      <w:lvlJc w:val="left"/>
      <w:pPr>
        <w:ind w:left="720" w:hanging="360"/>
      </w:pPr>
      <w:rPr>
        <w:rFonts w:ascii="Symbol" w:hAnsi="Symbol"/>
      </w:rPr>
    </w:lvl>
  </w:abstractNum>
  <w:abstractNum w:abstractNumId="2" w15:restartNumberingAfterBreak="0">
    <w:nsid w:val="0A551723"/>
    <w:multiLevelType w:val="multilevel"/>
    <w:tmpl w:val="BF92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D0E37"/>
    <w:multiLevelType w:val="multilevel"/>
    <w:tmpl w:val="041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D66F1"/>
    <w:multiLevelType w:val="multilevel"/>
    <w:tmpl w:val="BECE8F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B4D16"/>
    <w:multiLevelType w:val="multilevel"/>
    <w:tmpl w:val="4B0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425FF"/>
    <w:multiLevelType w:val="hybridMultilevel"/>
    <w:tmpl w:val="D556CE82"/>
    <w:lvl w:ilvl="0" w:tplc="CCF0AB0C">
      <w:start w:val="1"/>
      <w:numFmt w:val="bullet"/>
      <w:lvlText w:val=""/>
      <w:lvlJc w:val="left"/>
      <w:pPr>
        <w:ind w:left="720" w:hanging="360"/>
      </w:pPr>
      <w:rPr>
        <w:rFonts w:ascii="Symbol" w:hAnsi="Symbol"/>
      </w:rPr>
    </w:lvl>
    <w:lvl w:ilvl="1" w:tplc="84D691FC">
      <w:start w:val="1"/>
      <w:numFmt w:val="bullet"/>
      <w:lvlText w:val=""/>
      <w:lvlJc w:val="left"/>
      <w:pPr>
        <w:ind w:left="720" w:hanging="360"/>
      </w:pPr>
      <w:rPr>
        <w:rFonts w:ascii="Symbol" w:hAnsi="Symbol"/>
      </w:rPr>
    </w:lvl>
    <w:lvl w:ilvl="2" w:tplc="07AA5FC2">
      <w:start w:val="1"/>
      <w:numFmt w:val="bullet"/>
      <w:lvlText w:val=""/>
      <w:lvlJc w:val="left"/>
      <w:pPr>
        <w:ind w:left="720" w:hanging="360"/>
      </w:pPr>
      <w:rPr>
        <w:rFonts w:ascii="Symbol" w:hAnsi="Symbol"/>
      </w:rPr>
    </w:lvl>
    <w:lvl w:ilvl="3" w:tplc="34E6DDCE">
      <w:start w:val="1"/>
      <w:numFmt w:val="bullet"/>
      <w:lvlText w:val=""/>
      <w:lvlJc w:val="left"/>
      <w:pPr>
        <w:ind w:left="720" w:hanging="360"/>
      </w:pPr>
      <w:rPr>
        <w:rFonts w:ascii="Symbol" w:hAnsi="Symbol"/>
      </w:rPr>
    </w:lvl>
    <w:lvl w:ilvl="4" w:tplc="D18A2676">
      <w:start w:val="1"/>
      <w:numFmt w:val="bullet"/>
      <w:lvlText w:val=""/>
      <w:lvlJc w:val="left"/>
      <w:pPr>
        <w:ind w:left="720" w:hanging="360"/>
      </w:pPr>
      <w:rPr>
        <w:rFonts w:ascii="Symbol" w:hAnsi="Symbol"/>
      </w:rPr>
    </w:lvl>
    <w:lvl w:ilvl="5" w:tplc="E44E36B8">
      <w:start w:val="1"/>
      <w:numFmt w:val="bullet"/>
      <w:lvlText w:val=""/>
      <w:lvlJc w:val="left"/>
      <w:pPr>
        <w:ind w:left="720" w:hanging="360"/>
      </w:pPr>
      <w:rPr>
        <w:rFonts w:ascii="Symbol" w:hAnsi="Symbol"/>
      </w:rPr>
    </w:lvl>
    <w:lvl w:ilvl="6" w:tplc="A2E817F4">
      <w:start w:val="1"/>
      <w:numFmt w:val="bullet"/>
      <w:lvlText w:val=""/>
      <w:lvlJc w:val="left"/>
      <w:pPr>
        <w:ind w:left="720" w:hanging="360"/>
      </w:pPr>
      <w:rPr>
        <w:rFonts w:ascii="Symbol" w:hAnsi="Symbol"/>
      </w:rPr>
    </w:lvl>
    <w:lvl w:ilvl="7" w:tplc="3AF661D8">
      <w:start w:val="1"/>
      <w:numFmt w:val="bullet"/>
      <w:lvlText w:val=""/>
      <w:lvlJc w:val="left"/>
      <w:pPr>
        <w:ind w:left="720" w:hanging="360"/>
      </w:pPr>
      <w:rPr>
        <w:rFonts w:ascii="Symbol" w:hAnsi="Symbol"/>
      </w:rPr>
    </w:lvl>
    <w:lvl w:ilvl="8" w:tplc="0A7A442A">
      <w:start w:val="1"/>
      <w:numFmt w:val="bullet"/>
      <w:lvlText w:val=""/>
      <w:lvlJc w:val="left"/>
      <w:pPr>
        <w:ind w:left="720" w:hanging="360"/>
      </w:pPr>
      <w:rPr>
        <w:rFonts w:ascii="Symbol" w:hAnsi="Symbol"/>
      </w:rPr>
    </w:lvl>
  </w:abstractNum>
  <w:abstractNum w:abstractNumId="7" w15:restartNumberingAfterBreak="0">
    <w:nsid w:val="210C115B"/>
    <w:multiLevelType w:val="multilevel"/>
    <w:tmpl w:val="24CA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6066F"/>
    <w:multiLevelType w:val="hybridMultilevel"/>
    <w:tmpl w:val="7C506718"/>
    <w:lvl w:ilvl="0" w:tplc="7E84079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40C03"/>
    <w:multiLevelType w:val="hybridMultilevel"/>
    <w:tmpl w:val="068EF7A8"/>
    <w:lvl w:ilvl="0" w:tplc="9AB6D650">
      <w:start w:val="1"/>
      <w:numFmt w:val="bullet"/>
      <w:lvlText w:val=""/>
      <w:lvlJc w:val="left"/>
      <w:pPr>
        <w:ind w:left="720" w:hanging="360"/>
      </w:pPr>
      <w:rPr>
        <w:rFonts w:ascii="Symbol" w:hAnsi="Symbol"/>
      </w:rPr>
    </w:lvl>
    <w:lvl w:ilvl="1" w:tplc="356CC63A">
      <w:start w:val="1"/>
      <w:numFmt w:val="bullet"/>
      <w:lvlText w:val=""/>
      <w:lvlJc w:val="left"/>
      <w:pPr>
        <w:ind w:left="720" w:hanging="360"/>
      </w:pPr>
      <w:rPr>
        <w:rFonts w:ascii="Symbol" w:hAnsi="Symbol"/>
      </w:rPr>
    </w:lvl>
    <w:lvl w:ilvl="2" w:tplc="21E22DEA">
      <w:start w:val="1"/>
      <w:numFmt w:val="bullet"/>
      <w:lvlText w:val=""/>
      <w:lvlJc w:val="left"/>
      <w:pPr>
        <w:ind w:left="720" w:hanging="360"/>
      </w:pPr>
      <w:rPr>
        <w:rFonts w:ascii="Symbol" w:hAnsi="Symbol"/>
      </w:rPr>
    </w:lvl>
    <w:lvl w:ilvl="3" w:tplc="F0300CCE">
      <w:start w:val="1"/>
      <w:numFmt w:val="bullet"/>
      <w:lvlText w:val=""/>
      <w:lvlJc w:val="left"/>
      <w:pPr>
        <w:ind w:left="720" w:hanging="360"/>
      </w:pPr>
      <w:rPr>
        <w:rFonts w:ascii="Symbol" w:hAnsi="Symbol"/>
      </w:rPr>
    </w:lvl>
    <w:lvl w:ilvl="4" w:tplc="B5D08C12">
      <w:start w:val="1"/>
      <w:numFmt w:val="bullet"/>
      <w:lvlText w:val=""/>
      <w:lvlJc w:val="left"/>
      <w:pPr>
        <w:ind w:left="720" w:hanging="360"/>
      </w:pPr>
      <w:rPr>
        <w:rFonts w:ascii="Symbol" w:hAnsi="Symbol"/>
      </w:rPr>
    </w:lvl>
    <w:lvl w:ilvl="5" w:tplc="0726A1EC">
      <w:start w:val="1"/>
      <w:numFmt w:val="bullet"/>
      <w:lvlText w:val=""/>
      <w:lvlJc w:val="left"/>
      <w:pPr>
        <w:ind w:left="720" w:hanging="360"/>
      </w:pPr>
      <w:rPr>
        <w:rFonts w:ascii="Symbol" w:hAnsi="Symbol"/>
      </w:rPr>
    </w:lvl>
    <w:lvl w:ilvl="6" w:tplc="566CC0B0">
      <w:start w:val="1"/>
      <w:numFmt w:val="bullet"/>
      <w:lvlText w:val=""/>
      <w:lvlJc w:val="left"/>
      <w:pPr>
        <w:ind w:left="720" w:hanging="360"/>
      </w:pPr>
      <w:rPr>
        <w:rFonts w:ascii="Symbol" w:hAnsi="Symbol"/>
      </w:rPr>
    </w:lvl>
    <w:lvl w:ilvl="7" w:tplc="A3B03A7C">
      <w:start w:val="1"/>
      <w:numFmt w:val="bullet"/>
      <w:lvlText w:val=""/>
      <w:lvlJc w:val="left"/>
      <w:pPr>
        <w:ind w:left="720" w:hanging="360"/>
      </w:pPr>
      <w:rPr>
        <w:rFonts w:ascii="Symbol" w:hAnsi="Symbol"/>
      </w:rPr>
    </w:lvl>
    <w:lvl w:ilvl="8" w:tplc="1568A6B6">
      <w:start w:val="1"/>
      <w:numFmt w:val="bullet"/>
      <w:lvlText w:val=""/>
      <w:lvlJc w:val="left"/>
      <w:pPr>
        <w:ind w:left="720" w:hanging="360"/>
      </w:pPr>
      <w:rPr>
        <w:rFonts w:ascii="Symbol" w:hAnsi="Symbol"/>
      </w:rPr>
    </w:lvl>
  </w:abstractNum>
  <w:abstractNum w:abstractNumId="10" w15:restartNumberingAfterBreak="0">
    <w:nsid w:val="31F95667"/>
    <w:multiLevelType w:val="multilevel"/>
    <w:tmpl w:val="C798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C3E2A"/>
    <w:multiLevelType w:val="multilevel"/>
    <w:tmpl w:val="0746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D2EC5"/>
    <w:multiLevelType w:val="multilevel"/>
    <w:tmpl w:val="0AF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E39D4"/>
    <w:multiLevelType w:val="hybridMultilevel"/>
    <w:tmpl w:val="6CF8E832"/>
    <w:lvl w:ilvl="0" w:tplc="5D2CD668">
      <w:start w:val="1"/>
      <w:numFmt w:val="bullet"/>
      <w:lvlText w:val=""/>
      <w:lvlJc w:val="left"/>
      <w:pPr>
        <w:ind w:left="720" w:hanging="360"/>
      </w:pPr>
      <w:rPr>
        <w:rFonts w:ascii="Symbol" w:hAnsi="Symbol"/>
      </w:rPr>
    </w:lvl>
    <w:lvl w:ilvl="1" w:tplc="D234AE40">
      <w:start w:val="1"/>
      <w:numFmt w:val="bullet"/>
      <w:lvlText w:val=""/>
      <w:lvlJc w:val="left"/>
      <w:pPr>
        <w:ind w:left="720" w:hanging="360"/>
      </w:pPr>
      <w:rPr>
        <w:rFonts w:ascii="Symbol" w:hAnsi="Symbol"/>
      </w:rPr>
    </w:lvl>
    <w:lvl w:ilvl="2" w:tplc="4D869DD2">
      <w:start w:val="1"/>
      <w:numFmt w:val="bullet"/>
      <w:lvlText w:val=""/>
      <w:lvlJc w:val="left"/>
      <w:pPr>
        <w:ind w:left="720" w:hanging="360"/>
      </w:pPr>
      <w:rPr>
        <w:rFonts w:ascii="Symbol" w:hAnsi="Symbol"/>
      </w:rPr>
    </w:lvl>
    <w:lvl w:ilvl="3" w:tplc="331E6118">
      <w:start w:val="1"/>
      <w:numFmt w:val="bullet"/>
      <w:lvlText w:val=""/>
      <w:lvlJc w:val="left"/>
      <w:pPr>
        <w:ind w:left="720" w:hanging="360"/>
      </w:pPr>
      <w:rPr>
        <w:rFonts w:ascii="Symbol" w:hAnsi="Symbol"/>
      </w:rPr>
    </w:lvl>
    <w:lvl w:ilvl="4" w:tplc="3734513C">
      <w:start w:val="1"/>
      <w:numFmt w:val="bullet"/>
      <w:lvlText w:val=""/>
      <w:lvlJc w:val="left"/>
      <w:pPr>
        <w:ind w:left="720" w:hanging="360"/>
      </w:pPr>
      <w:rPr>
        <w:rFonts w:ascii="Symbol" w:hAnsi="Symbol"/>
      </w:rPr>
    </w:lvl>
    <w:lvl w:ilvl="5" w:tplc="BD26D55C">
      <w:start w:val="1"/>
      <w:numFmt w:val="bullet"/>
      <w:lvlText w:val=""/>
      <w:lvlJc w:val="left"/>
      <w:pPr>
        <w:ind w:left="720" w:hanging="360"/>
      </w:pPr>
      <w:rPr>
        <w:rFonts w:ascii="Symbol" w:hAnsi="Symbol"/>
      </w:rPr>
    </w:lvl>
    <w:lvl w:ilvl="6" w:tplc="E6AE448C">
      <w:start w:val="1"/>
      <w:numFmt w:val="bullet"/>
      <w:lvlText w:val=""/>
      <w:lvlJc w:val="left"/>
      <w:pPr>
        <w:ind w:left="720" w:hanging="360"/>
      </w:pPr>
      <w:rPr>
        <w:rFonts w:ascii="Symbol" w:hAnsi="Symbol"/>
      </w:rPr>
    </w:lvl>
    <w:lvl w:ilvl="7" w:tplc="30D4A7B6">
      <w:start w:val="1"/>
      <w:numFmt w:val="bullet"/>
      <w:lvlText w:val=""/>
      <w:lvlJc w:val="left"/>
      <w:pPr>
        <w:ind w:left="720" w:hanging="360"/>
      </w:pPr>
      <w:rPr>
        <w:rFonts w:ascii="Symbol" w:hAnsi="Symbol"/>
      </w:rPr>
    </w:lvl>
    <w:lvl w:ilvl="8" w:tplc="8F7C239E">
      <w:start w:val="1"/>
      <w:numFmt w:val="bullet"/>
      <w:lvlText w:val=""/>
      <w:lvlJc w:val="left"/>
      <w:pPr>
        <w:ind w:left="720" w:hanging="360"/>
      </w:pPr>
      <w:rPr>
        <w:rFonts w:ascii="Symbol" w:hAnsi="Symbol"/>
      </w:rPr>
    </w:lvl>
  </w:abstractNum>
  <w:num w:numId="1" w16cid:durableId="790787411">
    <w:abstractNumId w:val="5"/>
  </w:num>
  <w:num w:numId="2" w16cid:durableId="787774414">
    <w:abstractNumId w:val="3"/>
  </w:num>
  <w:num w:numId="3" w16cid:durableId="1117093719">
    <w:abstractNumId w:val="2"/>
  </w:num>
  <w:num w:numId="4" w16cid:durableId="1406563194">
    <w:abstractNumId w:val="12"/>
  </w:num>
  <w:num w:numId="5" w16cid:durableId="501311243">
    <w:abstractNumId w:val="0"/>
  </w:num>
  <w:num w:numId="6" w16cid:durableId="1786922237">
    <w:abstractNumId w:val="4"/>
  </w:num>
  <w:num w:numId="7" w16cid:durableId="1901012692">
    <w:abstractNumId w:val="8"/>
  </w:num>
  <w:num w:numId="8" w16cid:durableId="1422674662">
    <w:abstractNumId w:val="13"/>
  </w:num>
  <w:num w:numId="9" w16cid:durableId="462431128">
    <w:abstractNumId w:val="9"/>
  </w:num>
  <w:num w:numId="10" w16cid:durableId="710765971">
    <w:abstractNumId w:val="6"/>
  </w:num>
  <w:num w:numId="11" w16cid:durableId="988708171">
    <w:abstractNumId w:val="1"/>
  </w:num>
  <w:num w:numId="12" w16cid:durableId="218132613">
    <w:abstractNumId w:val="11"/>
  </w:num>
  <w:num w:numId="13" w16cid:durableId="202913327">
    <w:abstractNumId w:val="10"/>
  </w:num>
  <w:num w:numId="14" w16cid:durableId="396633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0C"/>
    <w:rsid w:val="00000BA6"/>
    <w:rsid w:val="00001C87"/>
    <w:rsid w:val="0000408B"/>
    <w:rsid w:val="00010469"/>
    <w:rsid w:val="00011ABD"/>
    <w:rsid w:val="0002750C"/>
    <w:rsid w:val="0002796C"/>
    <w:rsid w:val="00047BB1"/>
    <w:rsid w:val="00055132"/>
    <w:rsid w:val="00057F3D"/>
    <w:rsid w:val="00064171"/>
    <w:rsid w:val="00066C9D"/>
    <w:rsid w:val="00087EB8"/>
    <w:rsid w:val="0009450C"/>
    <w:rsid w:val="00094CCD"/>
    <w:rsid w:val="000A1E8B"/>
    <w:rsid w:val="000A606B"/>
    <w:rsid w:val="000A7A64"/>
    <w:rsid w:val="000B19CE"/>
    <w:rsid w:val="000C1515"/>
    <w:rsid w:val="000D0799"/>
    <w:rsid w:val="000D171A"/>
    <w:rsid w:val="000F3018"/>
    <w:rsid w:val="000F47CE"/>
    <w:rsid w:val="00114F5F"/>
    <w:rsid w:val="00123FB5"/>
    <w:rsid w:val="00133380"/>
    <w:rsid w:val="00135628"/>
    <w:rsid w:val="0014298E"/>
    <w:rsid w:val="0015684F"/>
    <w:rsid w:val="00157CAD"/>
    <w:rsid w:val="001603AC"/>
    <w:rsid w:val="00163CBA"/>
    <w:rsid w:val="001754D4"/>
    <w:rsid w:val="0018181B"/>
    <w:rsid w:val="00183509"/>
    <w:rsid w:val="00185F9F"/>
    <w:rsid w:val="001963E7"/>
    <w:rsid w:val="001B7EE7"/>
    <w:rsid w:val="001C0B88"/>
    <w:rsid w:val="001C6679"/>
    <w:rsid w:val="001D45BA"/>
    <w:rsid w:val="001E1D7D"/>
    <w:rsid w:val="001E7FD2"/>
    <w:rsid w:val="001F2FC4"/>
    <w:rsid w:val="001F48B6"/>
    <w:rsid w:val="002057E5"/>
    <w:rsid w:val="00220643"/>
    <w:rsid w:val="00227E21"/>
    <w:rsid w:val="00237B66"/>
    <w:rsid w:val="00243FAD"/>
    <w:rsid w:val="0024598E"/>
    <w:rsid w:val="00245CE6"/>
    <w:rsid w:val="00246A91"/>
    <w:rsid w:val="0024756E"/>
    <w:rsid w:val="002533BB"/>
    <w:rsid w:val="00260FFF"/>
    <w:rsid w:val="00280E1B"/>
    <w:rsid w:val="00285A96"/>
    <w:rsid w:val="0029582C"/>
    <w:rsid w:val="002A0E87"/>
    <w:rsid w:val="002A5157"/>
    <w:rsid w:val="002B1827"/>
    <w:rsid w:val="002B3111"/>
    <w:rsid w:val="002C277D"/>
    <w:rsid w:val="002C33D0"/>
    <w:rsid w:val="002C7EAF"/>
    <w:rsid w:val="00300454"/>
    <w:rsid w:val="003268A6"/>
    <w:rsid w:val="00333FE6"/>
    <w:rsid w:val="00334A49"/>
    <w:rsid w:val="00357C76"/>
    <w:rsid w:val="00361383"/>
    <w:rsid w:val="0036656F"/>
    <w:rsid w:val="003727FC"/>
    <w:rsid w:val="00373C39"/>
    <w:rsid w:val="00375607"/>
    <w:rsid w:val="003846E7"/>
    <w:rsid w:val="00386205"/>
    <w:rsid w:val="003B285D"/>
    <w:rsid w:val="003C19C6"/>
    <w:rsid w:val="003C1FCD"/>
    <w:rsid w:val="003C2319"/>
    <w:rsid w:val="003C2D2A"/>
    <w:rsid w:val="003C5AD3"/>
    <w:rsid w:val="0041321B"/>
    <w:rsid w:val="00413A42"/>
    <w:rsid w:val="00423F5E"/>
    <w:rsid w:val="004351A7"/>
    <w:rsid w:val="00444456"/>
    <w:rsid w:val="0044786B"/>
    <w:rsid w:val="004701E6"/>
    <w:rsid w:val="00475424"/>
    <w:rsid w:val="0049702C"/>
    <w:rsid w:val="004977B1"/>
    <w:rsid w:val="004A1BC2"/>
    <w:rsid w:val="004B0FAE"/>
    <w:rsid w:val="004B7F06"/>
    <w:rsid w:val="004C3BB3"/>
    <w:rsid w:val="004D3AF8"/>
    <w:rsid w:val="004E67D4"/>
    <w:rsid w:val="00501EDB"/>
    <w:rsid w:val="005057C4"/>
    <w:rsid w:val="00507BBA"/>
    <w:rsid w:val="00513EED"/>
    <w:rsid w:val="0052067B"/>
    <w:rsid w:val="00521417"/>
    <w:rsid w:val="005245C5"/>
    <w:rsid w:val="00536329"/>
    <w:rsid w:val="005437C7"/>
    <w:rsid w:val="00557295"/>
    <w:rsid w:val="00570D50"/>
    <w:rsid w:val="005806E6"/>
    <w:rsid w:val="00581BF2"/>
    <w:rsid w:val="0058204A"/>
    <w:rsid w:val="00583139"/>
    <w:rsid w:val="00583C25"/>
    <w:rsid w:val="005915CE"/>
    <w:rsid w:val="00593B0B"/>
    <w:rsid w:val="00596261"/>
    <w:rsid w:val="005A1EB6"/>
    <w:rsid w:val="005A2971"/>
    <w:rsid w:val="005A30F5"/>
    <w:rsid w:val="005A626A"/>
    <w:rsid w:val="005A7602"/>
    <w:rsid w:val="005B710C"/>
    <w:rsid w:val="005C64C1"/>
    <w:rsid w:val="005D4ADD"/>
    <w:rsid w:val="005D72B6"/>
    <w:rsid w:val="005E0575"/>
    <w:rsid w:val="005F1E92"/>
    <w:rsid w:val="005F57EF"/>
    <w:rsid w:val="00677AA6"/>
    <w:rsid w:val="00682289"/>
    <w:rsid w:val="00693BF4"/>
    <w:rsid w:val="00696AE5"/>
    <w:rsid w:val="006A1468"/>
    <w:rsid w:val="006C564A"/>
    <w:rsid w:val="006D7194"/>
    <w:rsid w:val="006E1D98"/>
    <w:rsid w:val="006F1BFA"/>
    <w:rsid w:val="0070171E"/>
    <w:rsid w:val="00720ED7"/>
    <w:rsid w:val="00722E76"/>
    <w:rsid w:val="00735BD9"/>
    <w:rsid w:val="00762466"/>
    <w:rsid w:val="00770BDD"/>
    <w:rsid w:val="007713C1"/>
    <w:rsid w:val="00774ECF"/>
    <w:rsid w:val="0078079F"/>
    <w:rsid w:val="00783551"/>
    <w:rsid w:val="00784147"/>
    <w:rsid w:val="007A03B9"/>
    <w:rsid w:val="007B3B6D"/>
    <w:rsid w:val="007B7BA1"/>
    <w:rsid w:val="007C1242"/>
    <w:rsid w:val="007C2AFF"/>
    <w:rsid w:val="007C5B99"/>
    <w:rsid w:val="007C6931"/>
    <w:rsid w:val="007D174B"/>
    <w:rsid w:val="007D79C3"/>
    <w:rsid w:val="007E0FB5"/>
    <w:rsid w:val="007E2BD9"/>
    <w:rsid w:val="007E78F3"/>
    <w:rsid w:val="007E7EB6"/>
    <w:rsid w:val="007F48C6"/>
    <w:rsid w:val="00804980"/>
    <w:rsid w:val="008106D3"/>
    <w:rsid w:val="00811333"/>
    <w:rsid w:val="00822266"/>
    <w:rsid w:val="00823876"/>
    <w:rsid w:val="008255C6"/>
    <w:rsid w:val="0083220E"/>
    <w:rsid w:val="00841C70"/>
    <w:rsid w:val="00853B58"/>
    <w:rsid w:val="008569B8"/>
    <w:rsid w:val="00860463"/>
    <w:rsid w:val="00863184"/>
    <w:rsid w:val="008679C5"/>
    <w:rsid w:val="008712A7"/>
    <w:rsid w:val="008725B5"/>
    <w:rsid w:val="00882946"/>
    <w:rsid w:val="00884AAF"/>
    <w:rsid w:val="00884B1A"/>
    <w:rsid w:val="00887563"/>
    <w:rsid w:val="00890318"/>
    <w:rsid w:val="00893762"/>
    <w:rsid w:val="008A5CD9"/>
    <w:rsid w:val="008B379F"/>
    <w:rsid w:val="008D3AEA"/>
    <w:rsid w:val="0090006B"/>
    <w:rsid w:val="00905964"/>
    <w:rsid w:val="00917994"/>
    <w:rsid w:val="00933810"/>
    <w:rsid w:val="009431DD"/>
    <w:rsid w:val="00951E10"/>
    <w:rsid w:val="00954175"/>
    <w:rsid w:val="00962293"/>
    <w:rsid w:val="009733A6"/>
    <w:rsid w:val="00977279"/>
    <w:rsid w:val="009807DF"/>
    <w:rsid w:val="00997D12"/>
    <w:rsid w:val="009A24AE"/>
    <w:rsid w:val="009B4114"/>
    <w:rsid w:val="009B6546"/>
    <w:rsid w:val="009C1901"/>
    <w:rsid w:val="009C2E76"/>
    <w:rsid w:val="009C397F"/>
    <w:rsid w:val="009D0B0A"/>
    <w:rsid w:val="009D49DD"/>
    <w:rsid w:val="009E4898"/>
    <w:rsid w:val="009E757D"/>
    <w:rsid w:val="009F4160"/>
    <w:rsid w:val="00A01665"/>
    <w:rsid w:val="00A04BF1"/>
    <w:rsid w:val="00A1291A"/>
    <w:rsid w:val="00A37F31"/>
    <w:rsid w:val="00A37F73"/>
    <w:rsid w:val="00A655C8"/>
    <w:rsid w:val="00A73532"/>
    <w:rsid w:val="00A74578"/>
    <w:rsid w:val="00A746C0"/>
    <w:rsid w:val="00A8069D"/>
    <w:rsid w:val="00A8440C"/>
    <w:rsid w:val="00A91895"/>
    <w:rsid w:val="00A96743"/>
    <w:rsid w:val="00A97CDF"/>
    <w:rsid w:val="00AB7FD9"/>
    <w:rsid w:val="00AC1339"/>
    <w:rsid w:val="00AC673C"/>
    <w:rsid w:val="00AD2CC2"/>
    <w:rsid w:val="00AD3617"/>
    <w:rsid w:val="00AE3F01"/>
    <w:rsid w:val="00AF4834"/>
    <w:rsid w:val="00AF706E"/>
    <w:rsid w:val="00AF78BB"/>
    <w:rsid w:val="00B00503"/>
    <w:rsid w:val="00B03639"/>
    <w:rsid w:val="00B109E6"/>
    <w:rsid w:val="00B229AF"/>
    <w:rsid w:val="00B25578"/>
    <w:rsid w:val="00B259C9"/>
    <w:rsid w:val="00B25BE0"/>
    <w:rsid w:val="00B3297F"/>
    <w:rsid w:val="00B33F37"/>
    <w:rsid w:val="00B35DA2"/>
    <w:rsid w:val="00B51EE6"/>
    <w:rsid w:val="00B57292"/>
    <w:rsid w:val="00B66BA3"/>
    <w:rsid w:val="00B80BB5"/>
    <w:rsid w:val="00B9201F"/>
    <w:rsid w:val="00B9290D"/>
    <w:rsid w:val="00B95B81"/>
    <w:rsid w:val="00BA053D"/>
    <w:rsid w:val="00BA28F9"/>
    <w:rsid w:val="00BB031D"/>
    <w:rsid w:val="00BB22BF"/>
    <w:rsid w:val="00BB41B5"/>
    <w:rsid w:val="00BB50F7"/>
    <w:rsid w:val="00BB5B1B"/>
    <w:rsid w:val="00BC65EF"/>
    <w:rsid w:val="00BD3AAD"/>
    <w:rsid w:val="00BD5860"/>
    <w:rsid w:val="00C04BCA"/>
    <w:rsid w:val="00C06F85"/>
    <w:rsid w:val="00C0704F"/>
    <w:rsid w:val="00C14280"/>
    <w:rsid w:val="00C16D85"/>
    <w:rsid w:val="00C213B6"/>
    <w:rsid w:val="00C24A15"/>
    <w:rsid w:val="00C30804"/>
    <w:rsid w:val="00C50B06"/>
    <w:rsid w:val="00C53204"/>
    <w:rsid w:val="00C57463"/>
    <w:rsid w:val="00C73DDD"/>
    <w:rsid w:val="00C7610E"/>
    <w:rsid w:val="00C76FB8"/>
    <w:rsid w:val="00C801DF"/>
    <w:rsid w:val="00C83D5B"/>
    <w:rsid w:val="00C95089"/>
    <w:rsid w:val="00C95205"/>
    <w:rsid w:val="00CA0664"/>
    <w:rsid w:val="00CB2FE0"/>
    <w:rsid w:val="00CB3F19"/>
    <w:rsid w:val="00CB6842"/>
    <w:rsid w:val="00CD1E6F"/>
    <w:rsid w:val="00CE77BA"/>
    <w:rsid w:val="00CF29A7"/>
    <w:rsid w:val="00CF632F"/>
    <w:rsid w:val="00D06F9D"/>
    <w:rsid w:val="00D1740D"/>
    <w:rsid w:val="00D25692"/>
    <w:rsid w:val="00D40DB6"/>
    <w:rsid w:val="00D5496A"/>
    <w:rsid w:val="00D56EDB"/>
    <w:rsid w:val="00D62884"/>
    <w:rsid w:val="00D6645E"/>
    <w:rsid w:val="00D73CF9"/>
    <w:rsid w:val="00D82D67"/>
    <w:rsid w:val="00D86F17"/>
    <w:rsid w:val="00D877F4"/>
    <w:rsid w:val="00D93151"/>
    <w:rsid w:val="00D95ED2"/>
    <w:rsid w:val="00DB4CE6"/>
    <w:rsid w:val="00DB7276"/>
    <w:rsid w:val="00DC7836"/>
    <w:rsid w:val="00DD5089"/>
    <w:rsid w:val="00DE0371"/>
    <w:rsid w:val="00DE3D46"/>
    <w:rsid w:val="00DF4B21"/>
    <w:rsid w:val="00E02554"/>
    <w:rsid w:val="00E124F7"/>
    <w:rsid w:val="00E1597A"/>
    <w:rsid w:val="00E275D5"/>
    <w:rsid w:val="00E30D47"/>
    <w:rsid w:val="00E3420C"/>
    <w:rsid w:val="00E42060"/>
    <w:rsid w:val="00E54635"/>
    <w:rsid w:val="00E5660E"/>
    <w:rsid w:val="00E57FC5"/>
    <w:rsid w:val="00E660BF"/>
    <w:rsid w:val="00E70887"/>
    <w:rsid w:val="00E7238A"/>
    <w:rsid w:val="00E727C3"/>
    <w:rsid w:val="00E72B82"/>
    <w:rsid w:val="00E73D3E"/>
    <w:rsid w:val="00E740BA"/>
    <w:rsid w:val="00E75BE3"/>
    <w:rsid w:val="00E8105F"/>
    <w:rsid w:val="00EA664F"/>
    <w:rsid w:val="00EC034F"/>
    <w:rsid w:val="00EC66ED"/>
    <w:rsid w:val="00ED4CF8"/>
    <w:rsid w:val="00ED6C60"/>
    <w:rsid w:val="00EF1F12"/>
    <w:rsid w:val="00EF746E"/>
    <w:rsid w:val="00F06568"/>
    <w:rsid w:val="00F13217"/>
    <w:rsid w:val="00F1350E"/>
    <w:rsid w:val="00F22B5F"/>
    <w:rsid w:val="00F30A5A"/>
    <w:rsid w:val="00F40506"/>
    <w:rsid w:val="00F4147E"/>
    <w:rsid w:val="00F44FDB"/>
    <w:rsid w:val="00F51500"/>
    <w:rsid w:val="00F55A81"/>
    <w:rsid w:val="00F62B5E"/>
    <w:rsid w:val="00F70ABC"/>
    <w:rsid w:val="00F72249"/>
    <w:rsid w:val="00F724A8"/>
    <w:rsid w:val="00F735A4"/>
    <w:rsid w:val="00F73826"/>
    <w:rsid w:val="00F96F35"/>
    <w:rsid w:val="00F97582"/>
    <w:rsid w:val="00FA4119"/>
    <w:rsid w:val="00FA4897"/>
    <w:rsid w:val="00FB2A8F"/>
    <w:rsid w:val="00FB7E89"/>
    <w:rsid w:val="00FC5065"/>
    <w:rsid w:val="00FD6426"/>
    <w:rsid w:val="00FD792C"/>
    <w:rsid w:val="00FF388D"/>
    <w:rsid w:val="00FF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9FD2E10"/>
  <w15:chartTrackingRefBased/>
  <w15:docId w15:val="{63F4316A-7EED-4A7D-9DA5-6C3F45F1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D5"/>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203871"/>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color w:val="203871"/>
      <w:sz w:val="36"/>
      <w:szCs w:val="36"/>
    </w:rPr>
  </w:style>
  <w:style w:type="paragraph" w:styleId="Heading3">
    <w:name w:val="heading 3"/>
    <w:basedOn w:val="Normal"/>
    <w:link w:val="Heading3Char"/>
    <w:uiPriority w:val="9"/>
    <w:qFormat/>
    <w:pPr>
      <w:spacing w:before="100" w:beforeAutospacing="1" w:after="100" w:afterAutospacing="1"/>
      <w:outlineLvl w:val="2"/>
    </w:pPr>
    <w:rPr>
      <w:b/>
      <w:bCs/>
      <w:color w:val="20387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A5A5A5" w:themeColor="accent1" w:themeShade="BF"/>
      <w:sz w:val="28"/>
      <w:szCs w:val="28"/>
    </w:rPr>
  </w:style>
  <w:style w:type="paragraph" w:customStyle="1" w:styleId="msonormal0">
    <w:name w:val="msonormal"/>
    <w:basedOn w:val="Normal"/>
    <w:pPr>
      <w:spacing w:before="100" w:beforeAutospacing="1" w:after="100" w:afterAutospacing="1"/>
    </w:pPr>
  </w:style>
  <w:style w:type="paragraph" w:customStyle="1" w:styleId="section-title">
    <w:name w:val="section-title"/>
    <w:basedOn w:val="Normal"/>
    <w:pPr>
      <w:spacing w:before="480" w:after="100" w:afterAutospacing="1"/>
    </w:pPr>
    <w:rPr>
      <w:b/>
      <w:bCs/>
      <w:sz w:val="26"/>
      <w:szCs w:val="26"/>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1E1D7D"/>
    <w:pPr>
      <w:ind w:left="720"/>
      <w:contextualSpacing/>
    </w:pPr>
  </w:style>
  <w:style w:type="paragraph" w:customStyle="1" w:styleId="Default">
    <w:name w:val="Default"/>
    <w:rsid w:val="007C2AF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7C2AFF"/>
    <w:rPr>
      <w:color w:val="5F5F5F" w:themeColor="hyperlink"/>
      <w:u w:val="single"/>
    </w:rPr>
  </w:style>
  <w:style w:type="character" w:styleId="FollowedHyperlink">
    <w:name w:val="FollowedHyperlink"/>
    <w:basedOn w:val="DefaultParagraphFont"/>
    <w:uiPriority w:val="99"/>
    <w:semiHidden/>
    <w:unhideWhenUsed/>
    <w:rsid w:val="007C2AFF"/>
    <w:rPr>
      <w:color w:val="919191" w:themeColor="followedHyperlink"/>
      <w:u w:val="single"/>
    </w:rPr>
  </w:style>
  <w:style w:type="table" w:styleId="TableGrid">
    <w:name w:val="Table Grid"/>
    <w:basedOn w:val="TableNormal"/>
    <w:uiPriority w:val="39"/>
    <w:rsid w:val="0038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582"/>
    <w:rPr>
      <w:sz w:val="16"/>
      <w:szCs w:val="16"/>
    </w:rPr>
  </w:style>
  <w:style w:type="paragraph" w:styleId="CommentText">
    <w:name w:val="annotation text"/>
    <w:basedOn w:val="Normal"/>
    <w:link w:val="CommentTextChar"/>
    <w:uiPriority w:val="99"/>
    <w:unhideWhenUsed/>
    <w:rsid w:val="00F97582"/>
    <w:rPr>
      <w:sz w:val="20"/>
      <w:szCs w:val="20"/>
    </w:rPr>
  </w:style>
  <w:style w:type="character" w:customStyle="1" w:styleId="CommentTextChar">
    <w:name w:val="Comment Text Char"/>
    <w:basedOn w:val="DefaultParagraphFont"/>
    <w:link w:val="CommentText"/>
    <w:uiPriority w:val="99"/>
    <w:rsid w:val="00F97582"/>
    <w:rPr>
      <w:rFonts w:eastAsiaTheme="minorEastAsia"/>
    </w:rPr>
  </w:style>
  <w:style w:type="paragraph" w:styleId="CommentSubject">
    <w:name w:val="annotation subject"/>
    <w:basedOn w:val="CommentText"/>
    <w:next w:val="CommentText"/>
    <w:link w:val="CommentSubjectChar"/>
    <w:uiPriority w:val="99"/>
    <w:semiHidden/>
    <w:unhideWhenUsed/>
    <w:rsid w:val="00F97582"/>
    <w:rPr>
      <w:b/>
      <w:bCs/>
    </w:rPr>
  </w:style>
  <w:style w:type="character" w:customStyle="1" w:styleId="CommentSubjectChar">
    <w:name w:val="Comment Subject Char"/>
    <w:basedOn w:val="CommentTextChar"/>
    <w:link w:val="CommentSubject"/>
    <w:uiPriority w:val="99"/>
    <w:semiHidden/>
    <w:rsid w:val="00F97582"/>
    <w:rPr>
      <w:rFonts w:eastAsiaTheme="minorEastAsia"/>
      <w:b/>
      <w:bCs/>
    </w:rPr>
  </w:style>
  <w:style w:type="paragraph" w:styleId="Header">
    <w:name w:val="header"/>
    <w:basedOn w:val="Normal"/>
    <w:link w:val="HeaderChar"/>
    <w:uiPriority w:val="99"/>
    <w:unhideWhenUsed/>
    <w:rsid w:val="00AF78BB"/>
    <w:pPr>
      <w:tabs>
        <w:tab w:val="center" w:pos="4680"/>
        <w:tab w:val="right" w:pos="9360"/>
      </w:tabs>
    </w:pPr>
  </w:style>
  <w:style w:type="character" w:customStyle="1" w:styleId="HeaderChar">
    <w:name w:val="Header Char"/>
    <w:basedOn w:val="DefaultParagraphFont"/>
    <w:link w:val="Header"/>
    <w:uiPriority w:val="99"/>
    <w:rsid w:val="00AF78BB"/>
    <w:rPr>
      <w:rFonts w:eastAsiaTheme="minorEastAsia"/>
      <w:sz w:val="24"/>
      <w:szCs w:val="24"/>
    </w:rPr>
  </w:style>
  <w:style w:type="paragraph" w:styleId="Footer">
    <w:name w:val="footer"/>
    <w:basedOn w:val="Normal"/>
    <w:link w:val="FooterChar"/>
    <w:uiPriority w:val="99"/>
    <w:unhideWhenUsed/>
    <w:rsid w:val="00AF78BB"/>
    <w:pPr>
      <w:tabs>
        <w:tab w:val="center" w:pos="4680"/>
        <w:tab w:val="right" w:pos="9360"/>
      </w:tabs>
    </w:pPr>
  </w:style>
  <w:style w:type="character" w:customStyle="1" w:styleId="FooterChar">
    <w:name w:val="Footer Char"/>
    <w:basedOn w:val="DefaultParagraphFont"/>
    <w:link w:val="Footer"/>
    <w:uiPriority w:val="99"/>
    <w:rsid w:val="00AF78BB"/>
    <w:rPr>
      <w:rFonts w:eastAsiaTheme="minorEastAsia"/>
      <w:sz w:val="24"/>
      <w:szCs w:val="24"/>
    </w:rPr>
  </w:style>
  <w:style w:type="character" w:styleId="UnresolvedMention">
    <w:name w:val="Unresolved Mention"/>
    <w:basedOn w:val="DefaultParagraphFont"/>
    <w:uiPriority w:val="99"/>
    <w:semiHidden/>
    <w:unhideWhenUsed/>
    <w:rsid w:val="007D79C3"/>
    <w:rPr>
      <w:color w:val="605E5C"/>
      <w:shd w:val="clear" w:color="auto" w:fill="E1DFDD"/>
    </w:rPr>
  </w:style>
  <w:style w:type="paragraph" w:styleId="Revision">
    <w:name w:val="Revision"/>
    <w:hidden/>
    <w:uiPriority w:val="99"/>
    <w:semiHidden/>
    <w:rsid w:val="007C5B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845">
      <w:bodyDiv w:val="1"/>
      <w:marLeft w:val="0"/>
      <w:marRight w:val="0"/>
      <w:marTop w:val="0"/>
      <w:marBottom w:val="0"/>
      <w:divBdr>
        <w:top w:val="none" w:sz="0" w:space="0" w:color="auto"/>
        <w:left w:val="none" w:sz="0" w:space="0" w:color="auto"/>
        <w:bottom w:val="none" w:sz="0" w:space="0" w:color="auto"/>
        <w:right w:val="none" w:sz="0" w:space="0" w:color="auto"/>
      </w:divBdr>
    </w:div>
    <w:div w:id="356394883">
      <w:marLeft w:val="0"/>
      <w:marRight w:val="0"/>
      <w:marTop w:val="480"/>
      <w:marBottom w:val="0"/>
      <w:divBdr>
        <w:top w:val="none" w:sz="0" w:space="0" w:color="auto"/>
        <w:left w:val="none" w:sz="0" w:space="0" w:color="auto"/>
        <w:bottom w:val="none" w:sz="0" w:space="0" w:color="auto"/>
        <w:right w:val="none" w:sz="0" w:space="0" w:color="auto"/>
      </w:divBdr>
    </w:div>
    <w:div w:id="450246051">
      <w:bodyDiv w:val="1"/>
      <w:marLeft w:val="0"/>
      <w:marRight w:val="0"/>
      <w:marTop w:val="0"/>
      <w:marBottom w:val="0"/>
      <w:divBdr>
        <w:top w:val="none" w:sz="0" w:space="0" w:color="auto"/>
        <w:left w:val="none" w:sz="0" w:space="0" w:color="auto"/>
        <w:bottom w:val="none" w:sz="0" w:space="0" w:color="auto"/>
        <w:right w:val="none" w:sz="0" w:space="0" w:color="auto"/>
      </w:divBdr>
    </w:div>
    <w:div w:id="509612638">
      <w:marLeft w:val="0"/>
      <w:marRight w:val="0"/>
      <w:marTop w:val="360"/>
      <w:marBottom w:val="360"/>
      <w:divBdr>
        <w:top w:val="none" w:sz="0" w:space="0" w:color="auto"/>
        <w:left w:val="none" w:sz="0" w:space="0" w:color="auto"/>
        <w:bottom w:val="none" w:sz="0" w:space="0" w:color="auto"/>
        <w:right w:val="none" w:sz="0" w:space="0" w:color="auto"/>
      </w:divBdr>
    </w:div>
    <w:div w:id="578176670">
      <w:bodyDiv w:val="1"/>
      <w:marLeft w:val="0"/>
      <w:marRight w:val="0"/>
      <w:marTop w:val="0"/>
      <w:marBottom w:val="0"/>
      <w:divBdr>
        <w:top w:val="none" w:sz="0" w:space="0" w:color="auto"/>
        <w:left w:val="none" w:sz="0" w:space="0" w:color="auto"/>
        <w:bottom w:val="none" w:sz="0" w:space="0" w:color="auto"/>
        <w:right w:val="none" w:sz="0" w:space="0" w:color="auto"/>
      </w:divBdr>
    </w:div>
    <w:div w:id="594098966">
      <w:marLeft w:val="0"/>
      <w:marRight w:val="0"/>
      <w:marTop w:val="480"/>
      <w:marBottom w:val="0"/>
      <w:divBdr>
        <w:top w:val="none" w:sz="0" w:space="0" w:color="auto"/>
        <w:left w:val="none" w:sz="0" w:space="0" w:color="auto"/>
        <w:bottom w:val="none" w:sz="0" w:space="0" w:color="auto"/>
        <w:right w:val="none" w:sz="0" w:space="0" w:color="auto"/>
      </w:divBdr>
    </w:div>
    <w:div w:id="786319750">
      <w:bodyDiv w:val="1"/>
      <w:marLeft w:val="0"/>
      <w:marRight w:val="0"/>
      <w:marTop w:val="0"/>
      <w:marBottom w:val="0"/>
      <w:divBdr>
        <w:top w:val="none" w:sz="0" w:space="0" w:color="auto"/>
        <w:left w:val="none" w:sz="0" w:space="0" w:color="auto"/>
        <w:bottom w:val="none" w:sz="0" w:space="0" w:color="auto"/>
        <w:right w:val="none" w:sz="0" w:space="0" w:color="auto"/>
      </w:divBdr>
    </w:div>
    <w:div w:id="810948265">
      <w:bodyDiv w:val="1"/>
      <w:marLeft w:val="0"/>
      <w:marRight w:val="0"/>
      <w:marTop w:val="0"/>
      <w:marBottom w:val="0"/>
      <w:divBdr>
        <w:top w:val="none" w:sz="0" w:space="0" w:color="auto"/>
        <w:left w:val="none" w:sz="0" w:space="0" w:color="auto"/>
        <w:bottom w:val="none" w:sz="0" w:space="0" w:color="auto"/>
        <w:right w:val="none" w:sz="0" w:space="0" w:color="auto"/>
      </w:divBdr>
    </w:div>
    <w:div w:id="822434242">
      <w:marLeft w:val="0"/>
      <w:marRight w:val="0"/>
      <w:marTop w:val="480"/>
      <w:marBottom w:val="0"/>
      <w:divBdr>
        <w:top w:val="none" w:sz="0" w:space="0" w:color="auto"/>
        <w:left w:val="none" w:sz="0" w:space="0" w:color="auto"/>
        <w:bottom w:val="none" w:sz="0" w:space="0" w:color="auto"/>
        <w:right w:val="none" w:sz="0" w:space="0" w:color="auto"/>
      </w:divBdr>
    </w:div>
    <w:div w:id="1038168288">
      <w:marLeft w:val="0"/>
      <w:marRight w:val="0"/>
      <w:marTop w:val="480"/>
      <w:marBottom w:val="0"/>
      <w:divBdr>
        <w:top w:val="none" w:sz="0" w:space="0" w:color="auto"/>
        <w:left w:val="none" w:sz="0" w:space="0" w:color="auto"/>
        <w:bottom w:val="none" w:sz="0" w:space="0" w:color="auto"/>
        <w:right w:val="none" w:sz="0" w:space="0" w:color="auto"/>
      </w:divBdr>
    </w:div>
    <w:div w:id="1099787994">
      <w:bodyDiv w:val="1"/>
      <w:marLeft w:val="0"/>
      <w:marRight w:val="0"/>
      <w:marTop w:val="0"/>
      <w:marBottom w:val="0"/>
      <w:divBdr>
        <w:top w:val="none" w:sz="0" w:space="0" w:color="auto"/>
        <w:left w:val="none" w:sz="0" w:space="0" w:color="auto"/>
        <w:bottom w:val="none" w:sz="0" w:space="0" w:color="auto"/>
        <w:right w:val="none" w:sz="0" w:space="0" w:color="auto"/>
      </w:divBdr>
    </w:div>
    <w:div w:id="1290626772">
      <w:marLeft w:val="0"/>
      <w:marRight w:val="0"/>
      <w:marTop w:val="480"/>
      <w:marBottom w:val="0"/>
      <w:divBdr>
        <w:top w:val="none" w:sz="0" w:space="0" w:color="auto"/>
        <w:left w:val="none" w:sz="0" w:space="0" w:color="auto"/>
        <w:bottom w:val="none" w:sz="0" w:space="0" w:color="auto"/>
        <w:right w:val="none" w:sz="0" w:space="0" w:color="auto"/>
      </w:divBdr>
    </w:div>
    <w:div w:id="1416898436">
      <w:marLeft w:val="0"/>
      <w:marRight w:val="0"/>
      <w:marTop w:val="480"/>
      <w:marBottom w:val="0"/>
      <w:divBdr>
        <w:top w:val="none" w:sz="0" w:space="0" w:color="auto"/>
        <w:left w:val="none" w:sz="0" w:space="0" w:color="auto"/>
        <w:bottom w:val="none" w:sz="0" w:space="0" w:color="auto"/>
        <w:right w:val="none" w:sz="0" w:space="0" w:color="auto"/>
      </w:divBdr>
    </w:div>
    <w:div w:id="1685522143">
      <w:bodyDiv w:val="1"/>
      <w:marLeft w:val="0"/>
      <w:marRight w:val="0"/>
      <w:marTop w:val="0"/>
      <w:marBottom w:val="0"/>
      <w:divBdr>
        <w:top w:val="none" w:sz="0" w:space="0" w:color="auto"/>
        <w:left w:val="none" w:sz="0" w:space="0" w:color="auto"/>
        <w:bottom w:val="none" w:sz="0" w:space="0" w:color="auto"/>
        <w:right w:val="none" w:sz="0" w:space="0" w:color="auto"/>
      </w:divBdr>
    </w:div>
    <w:div w:id="1728139600">
      <w:marLeft w:val="0"/>
      <w:marRight w:val="0"/>
      <w:marTop w:val="480"/>
      <w:marBottom w:val="0"/>
      <w:divBdr>
        <w:top w:val="none" w:sz="0" w:space="0" w:color="auto"/>
        <w:left w:val="none" w:sz="0" w:space="0" w:color="auto"/>
        <w:bottom w:val="none" w:sz="0" w:space="0" w:color="auto"/>
        <w:right w:val="none" w:sz="0" w:space="0" w:color="auto"/>
      </w:divBdr>
    </w:div>
    <w:div w:id="1746758527">
      <w:marLeft w:val="0"/>
      <w:marRight w:val="0"/>
      <w:marTop w:val="480"/>
      <w:marBottom w:val="0"/>
      <w:divBdr>
        <w:top w:val="none" w:sz="0" w:space="0" w:color="auto"/>
        <w:left w:val="none" w:sz="0" w:space="0" w:color="auto"/>
        <w:bottom w:val="none" w:sz="0" w:space="0" w:color="auto"/>
        <w:right w:val="none" w:sz="0" w:space="0" w:color="auto"/>
      </w:divBdr>
    </w:div>
    <w:div w:id="2092964100">
      <w:marLeft w:val="0"/>
      <w:marRight w:val="0"/>
      <w:marTop w:val="480"/>
      <w:marBottom w:val="0"/>
      <w:divBdr>
        <w:top w:val="none" w:sz="0" w:space="0" w:color="auto"/>
        <w:left w:val="none" w:sz="0" w:space="0" w:color="auto"/>
        <w:bottom w:val="none" w:sz="0" w:space="0" w:color="auto"/>
        <w:right w:val="none" w:sz="0" w:space="0" w:color="auto"/>
      </w:divBdr>
    </w:div>
    <w:div w:id="2133403553">
      <w:marLeft w:val="0"/>
      <w:marRight w:val="0"/>
      <w:marTop w:val="48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a.gov/wp-content/uploads/2017/12/458490main_trl_definition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urveymonkey.com/r/InnovationCFP" TargetMode="External"/><Relationship Id="rId4" Type="http://schemas.openxmlformats.org/officeDocument/2006/relationships/webSettings" Target="webSettings.xml"/><Relationship Id="rId9" Type="http://schemas.openxmlformats.org/officeDocument/2006/relationships/hyperlink" Target="mailto:nluong@nctcog.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621</TotalTime>
  <Pages>8</Pages>
  <Words>1579</Words>
  <Characters>9964</Characters>
  <Application>Microsoft Office Word</Application>
  <DocSecurity>0</DocSecurity>
  <Lines>260</Lines>
  <Paragraphs>87</Paragraphs>
  <ScaleCrop>false</ScaleCrop>
  <HeadingPairs>
    <vt:vector size="2" baseType="variant">
      <vt:variant>
        <vt:lpstr>Title</vt:lpstr>
      </vt:variant>
      <vt:variant>
        <vt:i4>1</vt:i4>
      </vt:variant>
    </vt:vector>
  </HeadingPairs>
  <TitlesOfParts>
    <vt:vector size="1" baseType="lpstr">
      <vt:lpstr>NCTCOG Technology and Innovation</vt:lpstr>
    </vt:vector>
  </TitlesOfParts>
  <Company>North Central Texas Council of Governments</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NCTCOG Technology and Innovation</dc:title>
  <dc:subject/>
  <dc:creator>Braulio Bessa</dc:creator>
  <cp:keywords/>
  <dc:description/>
  <cp:lastModifiedBy>Braulio Bessa</cp:lastModifiedBy>
  <cp:revision>336</cp:revision>
  <cp:lastPrinted>2025-12-18T17:45:00Z</cp:lastPrinted>
  <dcterms:created xsi:type="dcterms:W3CDTF">2025-08-12T17:29:00Z</dcterms:created>
  <dcterms:modified xsi:type="dcterms:W3CDTF">2025-12-23T16:36:00Z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61e953-577f-44bc-90d4-dd6552c79708_Enabled">
    <vt:lpwstr>true</vt:lpwstr>
  </property>
  <property fmtid="{D5CDD505-2E9C-101B-9397-08002B2CF9AE}" pid="3" name="MSIP_Label_a061e953-577f-44bc-90d4-dd6552c79708_SetDate">
    <vt:lpwstr>2025-08-12T17:29:31Z</vt:lpwstr>
  </property>
  <property fmtid="{D5CDD505-2E9C-101B-9397-08002B2CF9AE}" pid="4" name="MSIP_Label_a061e953-577f-44bc-90d4-dd6552c79708_Method">
    <vt:lpwstr>Standard</vt:lpwstr>
  </property>
  <property fmtid="{D5CDD505-2E9C-101B-9397-08002B2CF9AE}" pid="5" name="MSIP_Label_a061e953-577f-44bc-90d4-dd6552c79708_Name">
    <vt:lpwstr>[Public]</vt:lpwstr>
  </property>
  <property fmtid="{D5CDD505-2E9C-101B-9397-08002B2CF9AE}" pid="6" name="MSIP_Label_a061e953-577f-44bc-90d4-dd6552c79708_SiteId">
    <vt:lpwstr>2f5e7ebc-22b0-4fbe-934c-aabddb4e29b1</vt:lpwstr>
  </property>
  <property fmtid="{D5CDD505-2E9C-101B-9397-08002B2CF9AE}" pid="7" name="MSIP_Label_a061e953-577f-44bc-90d4-dd6552c79708_ActionId">
    <vt:lpwstr>9e2dd8c8-dceb-4517-bce0-34945c7274d5</vt:lpwstr>
  </property>
  <property fmtid="{D5CDD505-2E9C-101B-9397-08002B2CF9AE}" pid="8" name="MSIP_Label_a061e953-577f-44bc-90d4-dd6552c79708_ContentBits">
    <vt:lpwstr>0</vt:lpwstr>
  </property>
</Properties>
</file>