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372434" w14:textId="12CFD5BB" w:rsidR="00DD1A31" w:rsidRDefault="00DD1A31" w:rsidP="00DD1A31">
      <w:pPr>
        <w:pStyle w:val="Heading1"/>
        <w:jc w:val="center"/>
      </w:pPr>
      <w:r>
        <w:t xml:space="preserve">On Site Sewage Facility </w:t>
      </w:r>
      <w:r w:rsidR="007F7A54">
        <w:t xml:space="preserve">(OSSF) </w:t>
      </w:r>
      <w:r>
        <w:t>Social Media Toolkit</w:t>
      </w:r>
    </w:p>
    <w:p w14:paraId="054057E6" w14:textId="0D236537" w:rsidR="00DD1A31" w:rsidRDefault="004B4D15">
      <w:pPr>
        <w:rPr>
          <w:rFonts w:ascii="Calibri" w:hAnsi="Calibri" w:cs="Calibri"/>
          <w:i/>
          <w:iCs/>
          <w:sz w:val="24"/>
          <w:szCs w:val="24"/>
        </w:rPr>
      </w:pPr>
      <w:r>
        <w:rPr>
          <w:rFonts w:ascii="Calibri" w:hAnsi="Calibri" w:cs="Calibri"/>
          <w:i/>
          <w:iCs/>
          <w:sz w:val="24"/>
          <w:szCs w:val="24"/>
        </w:rPr>
        <w:t>This Social Media Toolkit is a resource for entities to use for outreach purposes to educate the public on proper OSSF maintenance.</w:t>
      </w:r>
      <w:r w:rsidR="00DD1A31" w:rsidRPr="00A544F8">
        <w:rPr>
          <w:rFonts w:ascii="Calibri" w:hAnsi="Calibri" w:cs="Calibri"/>
          <w:i/>
          <w:iCs/>
          <w:sz w:val="24"/>
          <w:szCs w:val="24"/>
        </w:rPr>
        <w:t xml:space="preserve"> </w:t>
      </w:r>
      <w:r w:rsidR="00603D38">
        <w:rPr>
          <w:rFonts w:ascii="Calibri" w:hAnsi="Calibri" w:cs="Calibri"/>
          <w:i/>
          <w:iCs/>
          <w:sz w:val="24"/>
          <w:szCs w:val="24"/>
        </w:rPr>
        <w:t xml:space="preserve">The </w:t>
      </w:r>
      <w:r w:rsidR="00DD1A31" w:rsidRPr="00A544F8">
        <w:rPr>
          <w:rFonts w:ascii="Calibri" w:hAnsi="Calibri" w:cs="Calibri"/>
          <w:i/>
          <w:iCs/>
          <w:sz w:val="24"/>
          <w:szCs w:val="24"/>
        </w:rPr>
        <w:t>table</w:t>
      </w:r>
      <w:r w:rsidR="00DD1A31">
        <w:rPr>
          <w:rFonts w:ascii="Calibri" w:hAnsi="Calibri" w:cs="Calibri"/>
          <w:i/>
          <w:iCs/>
          <w:sz w:val="24"/>
          <w:szCs w:val="24"/>
        </w:rPr>
        <w:t xml:space="preserve"> below</w:t>
      </w:r>
      <w:r w:rsidR="00603D38">
        <w:rPr>
          <w:rFonts w:ascii="Calibri" w:hAnsi="Calibri" w:cs="Calibri"/>
          <w:i/>
          <w:iCs/>
          <w:sz w:val="24"/>
          <w:szCs w:val="24"/>
        </w:rPr>
        <w:t xml:space="preserve"> contains</w:t>
      </w:r>
      <w:r w:rsidR="00DD1A31" w:rsidRPr="00A544F8">
        <w:rPr>
          <w:rFonts w:ascii="Calibri" w:hAnsi="Calibri" w:cs="Calibri"/>
          <w:i/>
          <w:iCs/>
          <w:sz w:val="24"/>
          <w:szCs w:val="24"/>
        </w:rPr>
        <w:t xml:space="preserve"> images and captions</w:t>
      </w:r>
      <w:r w:rsidR="00FB4EC4">
        <w:rPr>
          <w:rFonts w:ascii="Calibri" w:hAnsi="Calibri" w:cs="Calibri"/>
          <w:i/>
          <w:iCs/>
          <w:sz w:val="24"/>
          <w:szCs w:val="24"/>
        </w:rPr>
        <w:t xml:space="preserve"> that are</w:t>
      </w:r>
      <w:r w:rsidR="00DD1A31" w:rsidRPr="00A544F8">
        <w:rPr>
          <w:rFonts w:ascii="Calibri" w:hAnsi="Calibri" w:cs="Calibri"/>
          <w:i/>
          <w:iCs/>
          <w:sz w:val="24"/>
          <w:szCs w:val="24"/>
        </w:rPr>
        <w:t xml:space="preserve"> meant to be posted </w:t>
      </w:r>
      <w:r w:rsidR="00FB4EC4">
        <w:rPr>
          <w:rFonts w:ascii="Calibri" w:hAnsi="Calibri" w:cs="Calibri"/>
          <w:i/>
          <w:iCs/>
          <w:sz w:val="24"/>
          <w:szCs w:val="24"/>
        </w:rPr>
        <w:t>together</w:t>
      </w:r>
      <w:r w:rsidR="00DD1A31">
        <w:rPr>
          <w:rFonts w:ascii="Calibri" w:hAnsi="Calibri" w:cs="Calibri"/>
          <w:i/>
          <w:iCs/>
          <w:sz w:val="24"/>
          <w:szCs w:val="24"/>
        </w:rPr>
        <w:t>.</w:t>
      </w:r>
    </w:p>
    <w:tbl>
      <w:tblPr>
        <w:tblStyle w:val="TableGrid"/>
        <w:tblW w:w="10163" w:type="dxa"/>
        <w:jc w:val="center"/>
        <w:tblLook w:val="04A0" w:firstRow="1" w:lastRow="0" w:firstColumn="1" w:lastColumn="0" w:noHBand="0" w:noVBand="1"/>
      </w:tblPr>
      <w:tblGrid>
        <w:gridCol w:w="3966"/>
        <w:gridCol w:w="6197"/>
      </w:tblGrid>
      <w:tr w:rsidR="00615A26" w:rsidRPr="000957CC" w14:paraId="39337654" w14:textId="77777777" w:rsidTr="00615A26">
        <w:trPr>
          <w:jc w:val="center"/>
        </w:trPr>
        <w:tc>
          <w:tcPr>
            <w:tcW w:w="3775" w:type="dxa"/>
          </w:tcPr>
          <w:p w14:paraId="4077BA5E" w14:textId="77777777" w:rsidR="00DD1A31" w:rsidRPr="000957CC" w:rsidRDefault="00DD1A31" w:rsidP="00AF4653">
            <w:pPr>
              <w:rPr>
                <w:rFonts w:ascii="Calibri" w:hAnsi="Calibri" w:cs="Calibri"/>
                <w:b/>
                <w:bCs/>
              </w:rPr>
            </w:pPr>
            <w:r w:rsidRPr="000957CC">
              <w:rPr>
                <w:rFonts w:ascii="Calibri" w:hAnsi="Calibri" w:cs="Calibri"/>
                <w:b/>
                <w:bCs/>
              </w:rPr>
              <w:t>Image</w:t>
            </w:r>
          </w:p>
        </w:tc>
        <w:tc>
          <w:tcPr>
            <w:tcW w:w="6388" w:type="dxa"/>
          </w:tcPr>
          <w:p w14:paraId="4C3570C1" w14:textId="77777777" w:rsidR="00DD1A31" w:rsidRPr="000957CC" w:rsidRDefault="00DD1A31" w:rsidP="00AF4653">
            <w:pPr>
              <w:rPr>
                <w:rFonts w:ascii="Calibri" w:hAnsi="Calibri" w:cs="Calibri"/>
                <w:b/>
                <w:bCs/>
              </w:rPr>
            </w:pPr>
            <w:r w:rsidRPr="000957CC">
              <w:rPr>
                <w:rFonts w:ascii="Calibri" w:hAnsi="Calibri" w:cs="Calibri"/>
                <w:b/>
                <w:bCs/>
              </w:rPr>
              <w:t xml:space="preserve">Caption </w:t>
            </w:r>
          </w:p>
        </w:tc>
      </w:tr>
      <w:tr w:rsidR="00615A26" w:rsidRPr="003F74AA" w14:paraId="02FA6ADA" w14:textId="77777777" w:rsidTr="00615A26">
        <w:trPr>
          <w:jc w:val="center"/>
        </w:trPr>
        <w:tc>
          <w:tcPr>
            <w:tcW w:w="3775" w:type="dxa"/>
          </w:tcPr>
          <w:p w14:paraId="6E7DBDE1" w14:textId="63FBEDF1" w:rsidR="00DD1A31" w:rsidRDefault="00615A26" w:rsidP="00AF4653">
            <w:pPr>
              <w:rPr>
                <w:noProof/>
              </w:rPr>
            </w:pPr>
            <w:r>
              <w:rPr>
                <w:noProof/>
              </w:rPr>
              <w:drawing>
                <wp:inline distT="0" distB="0" distL="0" distR="0" wp14:anchorId="256C982B" wp14:editId="40B67C08">
                  <wp:extent cx="2331757" cy="18669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45857" cy="1878189"/>
                          </a:xfrm>
                          <a:prstGeom prst="rect">
                            <a:avLst/>
                          </a:prstGeom>
                          <a:noFill/>
                          <a:ln>
                            <a:noFill/>
                          </a:ln>
                        </pic:spPr>
                      </pic:pic>
                    </a:graphicData>
                  </a:graphic>
                </wp:inline>
              </w:drawing>
            </w:r>
          </w:p>
        </w:tc>
        <w:tc>
          <w:tcPr>
            <w:tcW w:w="6388" w:type="dxa"/>
          </w:tcPr>
          <w:p w14:paraId="68EA6390" w14:textId="1A83F564" w:rsidR="00DD1A31" w:rsidRDefault="00AA70E7" w:rsidP="00AF4653">
            <w:pPr>
              <w:rPr>
                <w:rFonts w:ascii="Calibri" w:hAnsi="Calibri" w:cs="Calibri"/>
              </w:rPr>
            </w:pPr>
            <w:r>
              <w:rPr>
                <w:rFonts w:ascii="Calibri" w:hAnsi="Calibri" w:cs="Calibri"/>
              </w:rPr>
              <w:t xml:space="preserve">An “OSSF” is known as an </w:t>
            </w:r>
            <w:proofErr w:type="gramStart"/>
            <w:r>
              <w:rPr>
                <w:rFonts w:ascii="Calibri" w:hAnsi="Calibri" w:cs="Calibri"/>
              </w:rPr>
              <w:t>On Site</w:t>
            </w:r>
            <w:proofErr w:type="gramEnd"/>
            <w:r>
              <w:rPr>
                <w:rFonts w:ascii="Calibri" w:hAnsi="Calibri" w:cs="Calibri"/>
              </w:rPr>
              <w:t xml:space="preserve"> Sewage Facility. Once installed, homeowners must maintain their system. </w:t>
            </w:r>
            <w:r w:rsidR="004A6588">
              <w:rPr>
                <w:rFonts w:ascii="Calibri" w:hAnsi="Calibri" w:cs="Calibri"/>
              </w:rPr>
              <w:t xml:space="preserve">Types of systems </w:t>
            </w:r>
            <w:r w:rsidR="00603D38">
              <w:rPr>
                <w:rFonts w:ascii="Calibri" w:hAnsi="Calibri" w:cs="Calibri"/>
              </w:rPr>
              <w:t>include</w:t>
            </w:r>
            <w:r>
              <w:rPr>
                <w:rFonts w:ascii="Calibri" w:hAnsi="Calibri" w:cs="Calibri"/>
              </w:rPr>
              <w:t xml:space="preserve"> </w:t>
            </w:r>
            <w:r w:rsidRPr="00AA70E7">
              <w:rPr>
                <w:rFonts w:ascii="Calibri" w:hAnsi="Calibri" w:cs="Calibri"/>
              </w:rPr>
              <w:t>secondary treatment systems, non-standard treatment systems, drip irrigation, and surface application disposal.</w:t>
            </w:r>
            <w:r>
              <w:rPr>
                <w:rFonts w:ascii="Calibri" w:hAnsi="Calibri" w:cs="Calibri"/>
              </w:rPr>
              <w:t xml:space="preserve"> For more information on OSSF </w:t>
            </w:r>
            <w:r w:rsidRPr="00AA70E7">
              <w:rPr>
                <w:rFonts w:ascii="Calibri" w:hAnsi="Calibri" w:cs="Calibri"/>
              </w:rPr>
              <w:t>maintenance</w:t>
            </w:r>
            <w:r>
              <w:rPr>
                <w:rFonts w:ascii="Calibri" w:hAnsi="Calibri" w:cs="Calibri"/>
              </w:rPr>
              <w:t xml:space="preserve">, visit </w:t>
            </w:r>
            <w:hyperlink r:id="rId8" w:history="1">
              <w:r w:rsidR="00E60FD5" w:rsidRPr="00992951">
                <w:rPr>
                  <w:rStyle w:val="Hyperlink"/>
                  <w:rFonts w:ascii="Calibri" w:hAnsi="Calibri" w:cs="Calibri"/>
                </w:rPr>
                <w:t>www.tceq.texas.gov/permitting/ossf/ossfmaintenance.html</w:t>
              </w:r>
            </w:hyperlink>
            <w:r>
              <w:rPr>
                <w:rFonts w:ascii="Calibri" w:hAnsi="Calibri" w:cs="Calibri"/>
              </w:rPr>
              <w:t xml:space="preserve">. </w:t>
            </w:r>
          </w:p>
        </w:tc>
      </w:tr>
      <w:tr w:rsidR="00615A26" w:rsidRPr="003F74AA" w14:paraId="1A92B779" w14:textId="77777777" w:rsidTr="00615A26">
        <w:trPr>
          <w:jc w:val="center"/>
        </w:trPr>
        <w:tc>
          <w:tcPr>
            <w:tcW w:w="3775" w:type="dxa"/>
          </w:tcPr>
          <w:p w14:paraId="143FFAB8" w14:textId="23E7FF4A" w:rsidR="000D67F5" w:rsidRDefault="00615A26" w:rsidP="000D67F5">
            <w:pPr>
              <w:rPr>
                <w:noProof/>
              </w:rPr>
            </w:pPr>
            <w:r>
              <w:rPr>
                <w:noProof/>
              </w:rPr>
              <w:drawing>
                <wp:inline distT="0" distB="0" distL="0" distR="0" wp14:anchorId="35133E58" wp14:editId="5FBF925A">
                  <wp:extent cx="2343150" cy="187602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58311" cy="1888161"/>
                          </a:xfrm>
                          <a:prstGeom prst="rect">
                            <a:avLst/>
                          </a:prstGeom>
                          <a:noFill/>
                          <a:ln>
                            <a:noFill/>
                          </a:ln>
                        </pic:spPr>
                      </pic:pic>
                    </a:graphicData>
                  </a:graphic>
                </wp:inline>
              </w:drawing>
            </w:r>
          </w:p>
        </w:tc>
        <w:tc>
          <w:tcPr>
            <w:tcW w:w="6388" w:type="dxa"/>
          </w:tcPr>
          <w:p w14:paraId="40F3680E" w14:textId="2C27C10D" w:rsidR="000D67F5" w:rsidRDefault="000D67F5" w:rsidP="000D67F5">
            <w:pPr>
              <w:rPr>
                <w:rFonts w:ascii="Calibri" w:hAnsi="Calibri" w:cs="Calibri"/>
              </w:rPr>
            </w:pPr>
            <w:r>
              <w:rPr>
                <w:rFonts w:ascii="Calibri" w:hAnsi="Calibri" w:cs="Calibri"/>
              </w:rPr>
              <w:t xml:space="preserve">Here is a quick </w:t>
            </w:r>
            <w:r w:rsidR="006006A1">
              <w:rPr>
                <w:rFonts w:ascii="Calibri" w:hAnsi="Calibri" w:cs="Calibri"/>
              </w:rPr>
              <w:t>look</w:t>
            </w:r>
            <w:r>
              <w:rPr>
                <w:rFonts w:ascii="Calibri" w:hAnsi="Calibri" w:cs="Calibri"/>
              </w:rPr>
              <w:t xml:space="preserve"> </w:t>
            </w:r>
            <w:r w:rsidR="00726BF1">
              <w:rPr>
                <w:rFonts w:ascii="Calibri" w:hAnsi="Calibri" w:cs="Calibri"/>
              </w:rPr>
              <w:t>at</w:t>
            </w:r>
            <w:r>
              <w:rPr>
                <w:rFonts w:ascii="Calibri" w:hAnsi="Calibri" w:cs="Calibri"/>
              </w:rPr>
              <w:t xml:space="preserve"> how an </w:t>
            </w:r>
            <w:proofErr w:type="gramStart"/>
            <w:r>
              <w:rPr>
                <w:rFonts w:ascii="Calibri" w:hAnsi="Calibri" w:cs="Calibri"/>
              </w:rPr>
              <w:t>On Site</w:t>
            </w:r>
            <w:proofErr w:type="gramEnd"/>
            <w:r>
              <w:rPr>
                <w:rFonts w:ascii="Calibri" w:hAnsi="Calibri" w:cs="Calibri"/>
              </w:rPr>
              <w:t xml:space="preserve"> Sewage Facility (OSSF) looks on the inside. These types of </w:t>
            </w:r>
            <w:r w:rsidRPr="00E60FD5">
              <w:rPr>
                <w:rFonts w:ascii="Calibri" w:hAnsi="Calibri" w:cs="Calibri"/>
              </w:rPr>
              <w:t>septic system</w:t>
            </w:r>
            <w:r>
              <w:rPr>
                <w:rFonts w:ascii="Calibri" w:hAnsi="Calibri" w:cs="Calibri"/>
              </w:rPr>
              <w:t>s are</w:t>
            </w:r>
            <w:r w:rsidRPr="00E60FD5">
              <w:rPr>
                <w:rFonts w:ascii="Calibri" w:hAnsi="Calibri" w:cs="Calibri"/>
              </w:rPr>
              <w:t xml:space="preserve"> designed to treat and release wastewater on the property </w:t>
            </w:r>
            <w:r w:rsidR="00124AD8">
              <w:rPr>
                <w:rFonts w:ascii="Calibri" w:hAnsi="Calibri" w:cs="Calibri"/>
              </w:rPr>
              <w:t xml:space="preserve">where </w:t>
            </w:r>
            <w:r w:rsidRPr="00E60FD5">
              <w:rPr>
                <w:rFonts w:ascii="Calibri" w:hAnsi="Calibri" w:cs="Calibri"/>
              </w:rPr>
              <w:t>it was created.</w:t>
            </w:r>
            <w:r>
              <w:rPr>
                <w:rFonts w:ascii="Calibri" w:hAnsi="Calibri" w:cs="Calibri"/>
              </w:rPr>
              <w:t xml:space="preserve"> I</w:t>
            </w:r>
            <w:r w:rsidRPr="00E60FD5">
              <w:rPr>
                <w:rFonts w:ascii="Calibri" w:hAnsi="Calibri" w:cs="Calibri"/>
              </w:rPr>
              <w:t>n most OSSFs, the system works by recycling biological waste using the natural environment. As wastewater enters the tank, heavier solids will sink to the bottom and lighter solids will float to the top. The wastewater will flow through the tank and out to the drainage field, where the water infiltrates into the soil.</w:t>
            </w:r>
            <w:r>
              <w:rPr>
                <w:rFonts w:ascii="Calibri" w:hAnsi="Calibri" w:cs="Calibri"/>
              </w:rPr>
              <w:t xml:space="preserve"> </w:t>
            </w:r>
          </w:p>
          <w:p w14:paraId="758215FE" w14:textId="54EBC4D1" w:rsidR="000D67F5" w:rsidRDefault="000D67F5" w:rsidP="000D67F5">
            <w:pPr>
              <w:rPr>
                <w:rFonts w:ascii="Calibri" w:hAnsi="Calibri" w:cs="Calibri"/>
              </w:rPr>
            </w:pPr>
            <w:r>
              <w:rPr>
                <w:rFonts w:ascii="Calibri" w:hAnsi="Calibri" w:cs="Calibri"/>
              </w:rPr>
              <w:t xml:space="preserve">Learn more at </w:t>
            </w:r>
            <w:hyperlink r:id="rId10" w:history="1">
              <w:r w:rsidRPr="00992951">
                <w:rPr>
                  <w:rStyle w:val="Hyperlink"/>
                  <w:rFonts w:ascii="Calibri" w:hAnsi="Calibri" w:cs="Calibri"/>
                </w:rPr>
                <w:t>www.Nctcog.org/TMDL</w:t>
              </w:r>
            </w:hyperlink>
            <w:r>
              <w:rPr>
                <w:rFonts w:ascii="Calibri" w:hAnsi="Calibri" w:cs="Calibri"/>
              </w:rPr>
              <w:t>.</w:t>
            </w:r>
          </w:p>
        </w:tc>
      </w:tr>
      <w:tr w:rsidR="00615A26" w:rsidRPr="003F74AA" w14:paraId="5A1F74E9" w14:textId="77777777" w:rsidTr="00615A26">
        <w:trPr>
          <w:jc w:val="center"/>
        </w:trPr>
        <w:tc>
          <w:tcPr>
            <w:tcW w:w="3775" w:type="dxa"/>
          </w:tcPr>
          <w:p w14:paraId="0B467EFB" w14:textId="4970D644" w:rsidR="00526FA4" w:rsidRDefault="00615A26" w:rsidP="00526FA4">
            <w:pPr>
              <w:rPr>
                <w:noProof/>
              </w:rPr>
            </w:pPr>
            <w:r>
              <w:rPr>
                <w:noProof/>
              </w:rPr>
              <w:drawing>
                <wp:inline distT="0" distB="0" distL="0" distR="0" wp14:anchorId="294D719A" wp14:editId="68748067">
                  <wp:extent cx="2381250" cy="190652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7647" cy="1911648"/>
                          </a:xfrm>
                          <a:prstGeom prst="rect">
                            <a:avLst/>
                          </a:prstGeom>
                          <a:noFill/>
                          <a:ln>
                            <a:noFill/>
                          </a:ln>
                        </pic:spPr>
                      </pic:pic>
                    </a:graphicData>
                  </a:graphic>
                </wp:inline>
              </w:drawing>
            </w:r>
          </w:p>
        </w:tc>
        <w:tc>
          <w:tcPr>
            <w:tcW w:w="6388" w:type="dxa"/>
          </w:tcPr>
          <w:p w14:paraId="719E8396" w14:textId="5D896CEF" w:rsidR="00526FA4" w:rsidRDefault="00526FA4" w:rsidP="00526FA4">
            <w:pPr>
              <w:rPr>
                <w:rFonts w:ascii="Calibri" w:hAnsi="Calibri" w:cs="Calibri"/>
              </w:rPr>
            </w:pPr>
            <w:r>
              <w:rPr>
                <w:rFonts w:ascii="Calibri" w:hAnsi="Calibri" w:cs="Calibri"/>
              </w:rPr>
              <w:t>What you need to know about the “drainage field” over your septic tank</w:t>
            </w:r>
            <w:r w:rsidR="00B77083">
              <w:rPr>
                <w:rFonts w:ascii="Calibri" w:hAnsi="Calibri" w:cs="Calibri"/>
              </w:rPr>
              <w:t xml:space="preserve">! Follow these tips to keep your septic </w:t>
            </w:r>
            <w:r w:rsidR="00726BF1">
              <w:rPr>
                <w:rFonts w:ascii="Calibri" w:hAnsi="Calibri" w:cs="Calibri"/>
              </w:rPr>
              <w:t>system</w:t>
            </w:r>
            <w:r w:rsidR="00B77083">
              <w:rPr>
                <w:rFonts w:ascii="Calibri" w:hAnsi="Calibri" w:cs="Calibri"/>
              </w:rPr>
              <w:t xml:space="preserve"> </w:t>
            </w:r>
            <w:r w:rsidR="00AE50BD">
              <w:rPr>
                <w:rFonts w:ascii="Calibri" w:hAnsi="Calibri" w:cs="Calibri"/>
              </w:rPr>
              <w:t xml:space="preserve">running smoothly. Learn more at </w:t>
            </w:r>
            <w:hyperlink r:id="rId12" w:history="1">
              <w:r w:rsidR="00AE50BD" w:rsidRPr="00992951">
                <w:rPr>
                  <w:rStyle w:val="Hyperlink"/>
                  <w:rFonts w:ascii="Calibri" w:hAnsi="Calibri" w:cs="Calibri"/>
                </w:rPr>
                <w:t>www.Nctcog.org/TMDL</w:t>
              </w:r>
            </w:hyperlink>
            <w:r w:rsidR="00AE50BD">
              <w:rPr>
                <w:rFonts w:ascii="Calibri" w:hAnsi="Calibri" w:cs="Calibri"/>
              </w:rPr>
              <w:t>.</w:t>
            </w:r>
          </w:p>
          <w:p w14:paraId="2A820C52" w14:textId="77777777" w:rsidR="00526FA4" w:rsidRDefault="00526FA4" w:rsidP="00526FA4">
            <w:pPr>
              <w:rPr>
                <w:rFonts w:ascii="Calibri" w:hAnsi="Calibri" w:cs="Calibri"/>
              </w:rPr>
            </w:pPr>
          </w:p>
        </w:tc>
      </w:tr>
      <w:tr w:rsidR="00615A26" w:rsidRPr="003F74AA" w14:paraId="29C55465" w14:textId="77777777" w:rsidTr="00615A26">
        <w:trPr>
          <w:jc w:val="center"/>
        </w:trPr>
        <w:tc>
          <w:tcPr>
            <w:tcW w:w="3775" w:type="dxa"/>
          </w:tcPr>
          <w:p w14:paraId="0DDB8577" w14:textId="5A9F0FEA" w:rsidR="00152045" w:rsidRDefault="00615A26" w:rsidP="00152045">
            <w:pPr>
              <w:rPr>
                <w:noProof/>
              </w:rPr>
            </w:pPr>
            <w:r>
              <w:rPr>
                <w:noProof/>
              </w:rPr>
              <w:lastRenderedPageBreak/>
              <w:drawing>
                <wp:inline distT="0" distB="0" distL="0" distR="0" wp14:anchorId="68FEBF92" wp14:editId="4BC2E1AE">
                  <wp:extent cx="2047875" cy="255792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0591" cy="2561318"/>
                          </a:xfrm>
                          <a:prstGeom prst="rect">
                            <a:avLst/>
                          </a:prstGeom>
                          <a:noFill/>
                          <a:ln>
                            <a:noFill/>
                          </a:ln>
                        </pic:spPr>
                      </pic:pic>
                    </a:graphicData>
                  </a:graphic>
                </wp:inline>
              </w:drawing>
            </w:r>
          </w:p>
        </w:tc>
        <w:tc>
          <w:tcPr>
            <w:tcW w:w="6388" w:type="dxa"/>
          </w:tcPr>
          <w:p w14:paraId="23756E4F" w14:textId="2DF44662" w:rsidR="00152045" w:rsidRDefault="00EB34EA" w:rsidP="00152045">
            <w:pPr>
              <w:rPr>
                <w:noProof/>
              </w:rPr>
            </w:pPr>
            <w:r>
              <w:rPr>
                <w:noProof/>
              </w:rPr>
              <w:t xml:space="preserve">Do you know the do’s and don’t’s </w:t>
            </w:r>
            <w:r w:rsidR="003C50B7">
              <w:rPr>
                <w:noProof/>
              </w:rPr>
              <w:t xml:space="preserve">of what to do with </w:t>
            </w:r>
            <w:r w:rsidR="009E4AC1">
              <w:rPr>
                <w:noProof/>
              </w:rPr>
              <w:t xml:space="preserve">the drainage field above your septic tank? Follow this guide to learn more! Go to </w:t>
            </w:r>
            <w:hyperlink r:id="rId14" w:history="1">
              <w:r w:rsidR="009E4AC1" w:rsidRPr="00992951">
                <w:rPr>
                  <w:rStyle w:val="Hyperlink"/>
                  <w:rFonts w:ascii="Calibri" w:hAnsi="Calibri" w:cs="Calibri"/>
                </w:rPr>
                <w:t>www.Nctcog.org/TMDL</w:t>
              </w:r>
            </w:hyperlink>
            <w:r w:rsidR="009E4AC1" w:rsidRPr="009E4AC1">
              <w:rPr>
                <w:rStyle w:val="Hyperlink"/>
                <w:rFonts w:ascii="Calibri" w:hAnsi="Calibri" w:cs="Calibri"/>
                <w:color w:val="auto"/>
                <w:u w:val="none"/>
              </w:rPr>
              <w:t xml:space="preserve"> </w:t>
            </w:r>
            <w:r w:rsidR="009E4AC1" w:rsidRPr="009E4AC1">
              <w:rPr>
                <w:rStyle w:val="Hyperlink"/>
                <w:color w:val="auto"/>
                <w:u w:val="none"/>
              </w:rPr>
              <w:t xml:space="preserve">for more information on </w:t>
            </w:r>
            <w:r w:rsidR="009E4AC1" w:rsidRPr="009E4AC1">
              <w:rPr>
                <w:rFonts w:ascii="Calibri" w:hAnsi="Calibri" w:cs="Calibri"/>
              </w:rPr>
              <w:t xml:space="preserve">On Site Sewage Facilities. </w:t>
            </w:r>
          </w:p>
          <w:p w14:paraId="399BD19D" w14:textId="58D1236E" w:rsidR="00152045" w:rsidRDefault="00152045" w:rsidP="00152045">
            <w:pPr>
              <w:jc w:val="center"/>
              <w:rPr>
                <w:rFonts w:ascii="Calibri" w:hAnsi="Calibri" w:cs="Calibri"/>
              </w:rPr>
            </w:pPr>
          </w:p>
        </w:tc>
      </w:tr>
      <w:tr w:rsidR="00615A26" w:rsidRPr="003F74AA" w14:paraId="73019AD5" w14:textId="77777777" w:rsidTr="00615A26">
        <w:trPr>
          <w:jc w:val="center"/>
        </w:trPr>
        <w:tc>
          <w:tcPr>
            <w:tcW w:w="3775" w:type="dxa"/>
          </w:tcPr>
          <w:p w14:paraId="6B5F7D18" w14:textId="2988E8B2" w:rsidR="00152045" w:rsidRDefault="00152045" w:rsidP="00152045">
            <w:pPr>
              <w:rPr>
                <w:noProof/>
              </w:rPr>
            </w:pPr>
            <w:r>
              <w:t xml:space="preserve"> </w:t>
            </w:r>
            <w:r w:rsidR="00615A26">
              <w:rPr>
                <w:noProof/>
              </w:rPr>
              <w:drawing>
                <wp:inline distT="0" distB="0" distL="0" distR="0" wp14:anchorId="103CF669" wp14:editId="2833454F">
                  <wp:extent cx="1990311" cy="24860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97912" cy="2495519"/>
                          </a:xfrm>
                          <a:prstGeom prst="rect">
                            <a:avLst/>
                          </a:prstGeom>
                          <a:noFill/>
                          <a:ln>
                            <a:noFill/>
                          </a:ln>
                        </pic:spPr>
                      </pic:pic>
                    </a:graphicData>
                  </a:graphic>
                </wp:inline>
              </w:drawing>
            </w:r>
          </w:p>
        </w:tc>
        <w:tc>
          <w:tcPr>
            <w:tcW w:w="6388" w:type="dxa"/>
          </w:tcPr>
          <w:p w14:paraId="72285D4A" w14:textId="34691C15" w:rsidR="00152045" w:rsidRDefault="00152045" w:rsidP="00152045">
            <w:pPr>
              <w:rPr>
                <w:rFonts w:ascii="Calibri" w:hAnsi="Calibri" w:cs="Calibri"/>
              </w:rPr>
            </w:pPr>
            <w:r>
              <w:rPr>
                <w:rFonts w:ascii="Calibri" w:hAnsi="Calibri" w:cs="Calibri"/>
              </w:rPr>
              <w:t xml:space="preserve">Why should you take care of your </w:t>
            </w:r>
            <w:proofErr w:type="gramStart"/>
            <w:r>
              <w:rPr>
                <w:rFonts w:ascii="Calibri" w:hAnsi="Calibri" w:cs="Calibri"/>
              </w:rPr>
              <w:t>On Site</w:t>
            </w:r>
            <w:proofErr w:type="gramEnd"/>
            <w:r>
              <w:rPr>
                <w:rFonts w:ascii="Calibri" w:hAnsi="Calibri" w:cs="Calibri"/>
              </w:rPr>
              <w:t xml:space="preserve"> Sewage Facility (OSSF)? By taking care of your OSSF, you are saving yourself money by avoiding having to repair or replace your system. You are also protecting your property value and the environment in the process. Learn more at </w:t>
            </w:r>
            <w:hyperlink r:id="rId16" w:history="1">
              <w:r w:rsidRPr="00992951">
                <w:rPr>
                  <w:rStyle w:val="Hyperlink"/>
                  <w:rFonts w:ascii="Calibri" w:hAnsi="Calibri" w:cs="Calibri"/>
                </w:rPr>
                <w:t>www.Nctcog.org/TMDL</w:t>
              </w:r>
            </w:hyperlink>
            <w:r>
              <w:rPr>
                <w:rFonts w:ascii="Calibri" w:hAnsi="Calibri" w:cs="Calibri"/>
              </w:rPr>
              <w:t>.</w:t>
            </w:r>
          </w:p>
          <w:p w14:paraId="494EE706" w14:textId="77777777" w:rsidR="00152045" w:rsidRDefault="00152045" w:rsidP="00152045">
            <w:pPr>
              <w:rPr>
                <w:rFonts w:ascii="Calibri" w:hAnsi="Calibri" w:cs="Calibri"/>
              </w:rPr>
            </w:pPr>
          </w:p>
        </w:tc>
      </w:tr>
      <w:tr w:rsidR="00615A26" w:rsidRPr="003F74AA" w14:paraId="02352141" w14:textId="77777777" w:rsidTr="00615A26">
        <w:trPr>
          <w:jc w:val="center"/>
        </w:trPr>
        <w:tc>
          <w:tcPr>
            <w:tcW w:w="3775" w:type="dxa"/>
          </w:tcPr>
          <w:p w14:paraId="4B928EA4" w14:textId="4B345E5E" w:rsidR="00152045" w:rsidRDefault="00615A26" w:rsidP="00152045">
            <w:pPr>
              <w:rPr>
                <w:noProof/>
              </w:rPr>
            </w:pPr>
            <w:r>
              <w:rPr>
                <w:noProof/>
              </w:rPr>
              <w:drawing>
                <wp:inline distT="0" distB="0" distL="0" distR="0" wp14:anchorId="4386A08F" wp14:editId="3502DC4F">
                  <wp:extent cx="2013187" cy="2514600"/>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21608" cy="2525118"/>
                          </a:xfrm>
                          <a:prstGeom prst="rect">
                            <a:avLst/>
                          </a:prstGeom>
                          <a:noFill/>
                          <a:ln>
                            <a:noFill/>
                          </a:ln>
                        </pic:spPr>
                      </pic:pic>
                    </a:graphicData>
                  </a:graphic>
                </wp:inline>
              </w:drawing>
            </w:r>
          </w:p>
        </w:tc>
        <w:tc>
          <w:tcPr>
            <w:tcW w:w="6388" w:type="dxa"/>
          </w:tcPr>
          <w:p w14:paraId="50770CDC" w14:textId="72D0AF78" w:rsidR="00152045" w:rsidRDefault="00152045" w:rsidP="00152045">
            <w:pPr>
              <w:rPr>
                <w:rFonts w:ascii="Calibri" w:hAnsi="Calibri" w:cs="Calibri"/>
              </w:rPr>
            </w:pPr>
            <w:r w:rsidRPr="00B87A01">
              <w:rPr>
                <w:rFonts w:ascii="Calibri" w:hAnsi="Calibri" w:cs="Calibri"/>
              </w:rPr>
              <w:t>Avoid flushing these items down the drain as they will cause harm to your septic tank.</w:t>
            </w:r>
            <w:r>
              <w:rPr>
                <w:rFonts w:ascii="Calibri" w:hAnsi="Calibri" w:cs="Calibri"/>
              </w:rPr>
              <w:t xml:space="preserve"> To learn what else you should never flush down the drain, visit DefendYourDrainsNorthTexas.com.</w:t>
            </w:r>
          </w:p>
        </w:tc>
      </w:tr>
      <w:tr w:rsidR="00615A26" w:rsidRPr="003F74AA" w14:paraId="40F8782F" w14:textId="77777777" w:rsidTr="00615A26">
        <w:trPr>
          <w:jc w:val="center"/>
        </w:trPr>
        <w:tc>
          <w:tcPr>
            <w:tcW w:w="3775" w:type="dxa"/>
          </w:tcPr>
          <w:p w14:paraId="23EC681A" w14:textId="04780943" w:rsidR="00152045" w:rsidRDefault="00615A26" w:rsidP="00152045">
            <w:pPr>
              <w:rPr>
                <w:noProof/>
              </w:rPr>
            </w:pPr>
            <w:r>
              <w:rPr>
                <w:noProof/>
              </w:rPr>
              <w:lastRenderedPageBreak/>
              <w:drawing>
                <wp:inline distT="0" distB="0" distL="0" distR="0" wp14:anchorId="51C18D85" wp14:editId="65DBBD32">
                  <wp:extent cx="2076450" cy="166249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79676" cy="1665074"/>
                          </a:xfrm>
                          <a:prstGeom prst="rect">
                            <a:avLst/>
                          </a:prstGeom>
                          <a:noFill/>
                          <a:ln>
                            <a:noFill/>
                          </a:ln>
                        </pic:spPr>
                      </pic:pic>
                    </a:graphicData>
                  </a:graphic>
                </wp:inline>
              </w:drawing>
            </w:r>
          </w:p>
        </w:tc>
        <w:tc>
          <w:tcPr>
            <w:tcW w:w="6388" w:type="dxa"/>
          </w:tcPr>
          <w:p w14:paraId="3F6280EA" w14:textId="78A838AD" w:rsidR="00152045" w:rsidRDefault="00152045" w:rsidP="00152045">
            <w:pPr>
              <w:rPr>
                <w:rFonts w:ascii="Calibri" w:hAnsi="Calibri" w:cs="Calibri"/>
              </w:rPr>
            </w:pPr>
            <w:r>
              <w:rPr>
                <w:rFonts w:ascii="Calibri" w:hAnsi="Calibri" w:cs="Calibri"/>
              </w:rPr>
              <w:t xml:space="preserve">Follow this diagram to learn how an onsite wastewater treatment system works. Learn more about the installation and maintenance of an </w:t>
            </w:r>
            <w:proofErr w:type="gramStart"/>
            <w:r>
              <w:rPr>
                <w:rFonts w:ascii="Calibri" w:hAnsi="Calibri" w:cs="Calibri"/>
              </w:rPr>
              <w:t>On Site</w:t>
            </w:r>
            <w:proofErr w:type="gramEnd"/>
            <w:r>
              <w:rPr>
                <w:rFonts w:ascii="Calibri" w:hAnsi="Calibri" w:cs="Calibri"/>
              </w:rPr>
              <w:t xml:space="preserve"> Sewage Facility (OSSF) at </w:t>
            </w:r>
            <w:hyperlink r:id="rId19" w:history="1">
              <w:r w:rsidRPr="00992951">
                <w:rPr>
                  <w:rStyle w:val="Hyperlink"/>
                  <w:rFonts w:ascii="Calibri" w:hAnsi="Calibri" w:cs="Calibri"/>
                </w:rPr>
                <w:t>www.Nctcog.org/TMDL</w:t>
              </w:r>
            </w:hyperlink>
            <w:r>
              <w:rPr>
                <w:rFonts w:ascii="Calibri" w:hAnsi="Calibri" w:cs="Calibri"/>
              </w:rPr>
              <w:t>.</w:t>
            </w:r>
          </w:p>
        </w:tc>
      </w:tr>
      <w:tr w:rsidR="00615A26" w:rsidRPr="003F74AA" w14:paraId="3032712C" w14:textId="77777777" w:rsidTr="00615A26">
        <w:trPr>
          <w:jc w:val="center"/>
        </w:trPr>
        <w:tc>
          <w:tcPr>
            <w:tcW w:w="3775" w:type="dxa"/>
          </w:tcPr>
          <w:p w14:paraId="198F731A" w14:textId="537D4F69" w:rsidR="00BD4A51" w:rsidRDefault="00615A26" w:rsidP="00BD4A51">
            <w:pPr>
              <w:rPr>
                <w:noProof/>
              </w:rPr>
            </w:pPr>
            <w:r>
              <w:rPr>
                <w:noProof/>
              </w:rPr>
              <w:drawing>
                <wp:inline distT="0" distB="0" distL="0" distR="0" wp14:anchorId="3BB9D21B" wp14:editId="5425E5CF">
                  <wp:extent cx="2133498" cy="1704975"/>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38848" cy="1709251"/>
                          </a:xfrm>
                          <a:prstGeom prst="rect">
                            <a:avLst/>
                          </a:prstGeom>
                          <a:noFill/>
                          <a:ln>
                            <a:noFill/>
                          </a:ln>
                        </pic:spPr>
                      </pic:pic>
                    </a:graphicData>
                  </a:graphic>
                </wp:inline>
              </w:drawing>
            </w:r>
          </w:p>
        </w:tc>
        <w:tc>
          <w:tcPr>
            <w:tcW w:w="6388" w:type="dxa"/>
          </w:tcPr>
          <w:p w14:paraId="2F3F732E" w14:textId="03718FFE" w:rsidR="00BD4A51" w:rsidRDefault="00BD4A51" w:rsidP="00BD4A51">
            <w:pPr>
              <w:rPr>
                <w:rFonts w:ascii="Calibri" w:hAnsi="Calibri" w:cs="Calibri"/>
              </w:rPr>
            </w:pPr>
            <w:r>
              <w:rPr>
                <w:rFonts w:ascii="Calibri" w:hAnsi="Calibri" w:cs="Calibri"/>
              </w:rPr>
              <w:t xml:space="preserve">In order to keep your </w:t>
            </w:r>
            <w:proofErr w:type="gramStart"/>
            <w:r>
              <w:rPr>
                <w:rFonts w:ascii="Calibri" w:hAnsi="Calibri" w:cs="Calibri"/>
              </w:rPr>
              <w:t>O</w:t>
            </w:r>
            <w:r w:rsidRPr="00AE50BD">
              <w:rPr>
                <w:rFonts w:ascii="Calibri" w:hAnsi="Calibri" w:cs="Calibri"/>
              </w:rPr>
              <w:t>n</w:t>
            </w:r>
            <w:r>
              <w:rPr>
                <w:rFonts w:ascii="Calibri" w:hAnsi="Calibri" w:cs="Calibri"/>
              </w:rPr>
              <w:t xml:space="preserve"> S</w:t>
            </w:r>
            <w:r w:rsidRPr="00AE50BD">
              <w:rPr>
                <w:rFonts w:ascii="Calibri" w:hAnsi="Calibri" w:cs="Calibri"/>
              </w:rPr>
              <w:t>ite</w:t>
            </w:r>
            <w:proofErr w:type="gramEnd"/>
            <w:r w:rsidRPr="00AE50BD">
              <w:rPr>
                <w:rFonts w:ascii="Calibri" w:hAnsi="Calibri" w:cs="Calibri"/>
              </w:rPr>
              <w:t xml:space="preserve"> </w:t>
            </w:r>
            <w:r>
              <w:rPr>
                <w:rFonts w:ascii="Calibri" w:hAnsi="Calibri" w:cs="Calibri"/>
              </w:rPr>
              <w:t>S</w:t>
            </w:r>
            <w:r w:rsidRPr="00AE50BD">
              <w:rPr>
                <w:rFonts w:ascii="Calibri" w:hAnsi="Calibri" w:cs="Calibri"/>
              </w:rPr>
              <w:t xml:space="preserve">ewage </w:t>
            </w:r>
            <w:r>
              <w:rPr>
                <w:rFonts w:ascii="Calibri" w:hAnsi="Calibri" w:cs="Calibri"/>
              </w:rPr>
              <w:t>F</w:t>
            </w:r>
            <w:r w:rsidRPr="00AE50BD">
              <w:rPr>
                <w:rFonts w:ascii="Calibri" w:hAnsi="Calibri" w:cs="Calibri"/>
              </w:rPr>
              <w:t>acilit</w:t>
            </w:r>
            <w:r>
              <w:rPr>
                <w:rFonts w:ascii="Calibri" w:hAnsi="Calibri" w:cs="Calibri"/>
              </w:rPr>
              <w:t xml:space="preserve">y running smoothly, you should pump your septic tank every 3 to 5 years. To find a licensed sludge transporter, visit </w:t>
            </w:r>
            <w:hyperlink r:id="rId21" w:history="1">
              <w:r w:rsidRPr="006E0BB2">
                <w:rPr>
                  <w:rStyle w:val="Hyperlink"/>
                  <w:rFonts w:ascii="Calibri" w:hAnsi="Calibri" w:cs="Calibri"/>
                </w:rPr>
                <w:t>www.tceq.texas.gov/permitting/registration/sludge/query.html</w:t>
              </w:r>
            </w:hyperlink>
            <w:r>
              <w:rPr>
                <w:rFonts w:ascii="Calibri" w:hAnsi="Calibri" w:cs="Calibri"/>
              </w:rPr>
              <w:t xml:space="preserve"> </w:t>
            </w:r>
          </w:p>
        </w:tc>
      </w:tr>
      <w:tr w:rsidR="00615A26" w:rsidRPr="003F74AA" w14:paraId="7EDF5229" w14:textId="77777777" w:rsidTr="00615A26">
        <w:trPr>
          <w:jc w:val="center"/>
        </w:trPr>
        <w:tc>
          <w:tcPr>
            <w:tcW w:w="3775" w:type="dxa"/>
          </w:tcPr>
          <w:p w14:paraId="3F50A688" w14:textId="2D735DFA" w:rsidR="00BD4A51" w:rsidRDefault="00615A26" w:rsidP="00BD4A51">
            <w:pPr>
              <w:rPr>
                <w:noProof/>
              </w:rPr>
            </w:pPr>
            <w:r>
              <w:rPr>
                <w:noProof/>
              </w:rPr>
              <w:drawing>
                <wp:inline distT="0" distB="0" distL="0" distR="0" wp14:anchorId="793E48B6" wp14:editId="2F66FAA5">
                  <wp:extent cx="2100755" cy="2628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07812" cy="2637731"/>
                          </a:xfrm>
                          <a:prstGeom prst="rect">
                            <a:avLst/>
                          </a:prstGeom>
                          <a:noFill/>
                          <a:ln>
                            <a:noFill/>
                          </a:ln>
                        </pic:spPr>
                      </pic:pic>
                    </a:graphicData>
                  </a:graphic>
                </wp:inline>
              </w:drawing>
            </w:r>
          </w:p>
        </w:tc>
        <w:tc>
          <w:tcPr>
            <w:tcW w:w="6388" w:type="dxa"/>
          </w:tcPr>
          <w:p w14:paraId="1411831B" w14:textId="25F7DBF6" w:rsidR="00BD4A51" w:rsidRDefault="00BD4A51" w:rsidP="00BD4A51">
            <w:pPr>
              <w:rPr>
                <w:rFonts w:ascii="Calibri" w:hAnsi="Calibri" w:cs="Calibri"/>
              </w:rPr>
            </w:pPr>
            <w:r>
              <w:rPr>
                <w:rFonts w:ascii="Calibri" w:hAnsi="Calibri" w:cs="Calibri"/>
              </w:rPr>
              <w:t xml:space="preserve"> </w:t>
            </w:r>
            <w:r>
              <w:t xml:space="preserve">What </w:t>
            </w:r>
            <w:proofErr w:type="gramStart"/>
            <w:r>
              <w:t>are  the</w:t>
            </w:r>
            <w:proofErr w:type="gramEnd"/>
            <w:r>
              <w:t xml:space="preserve"> “Do’s” and “Do Not’s” to caring for a Septic System? Follow these tips to ensure your </w:t>
            </w:r>
            <w:proofErr w:type="gramStart"/>
            <w:r>
              <w:t>On Site</w:t>
            </w:r>
            <w:proofErr w:type="gramEnd"/>
            <w:r>
              <w:t xml:space="preserve"> Sewage Facility keeps running smoothly. </w:t>
            </w:r>
            <w:r>
              <w:rPr>
                <w:rFonts w:ascii="Calibri" w:hAnsi="Calibri" w:cs="Calibri"/>
              </w:rPr>
              <w:t xml:space="preserve">Learn more at </w:t>
            </w:r>
            <w:hyperlink r:id="rId23" w:history="1">
              <w:r w:rsidRPr="00992951">
                <w:rPr>
                  <w:rStyle w:val="Hyperlink"/>
                  <w:rFonts w:ascii="Calibri" w:hAnsi="Calibri" w:cs="Calibri"/>
                </w:rPr>
                <w:t>www.Nctcog.org/TMDL</w:t>
              </w:r>
            </w:hyperlink>
            <w:r>
              <w:rPr>
                <w:rFonts w:ascii="Calibri" w:hAnsi="Calibri" w:cs="Calibri"/>
              </w:rPr>
              <w:t>.</w:t>
            </w:r>
          </w:p>
        </w:tc>
      </w:tr>
      <w:tr w:rsidR="00615A26" w:rsidRPr="003F74AA" w14:paraId="3A0E5387" w14:textId="77777777" w:rsidTr="00615A26">
        <w:trPr>
          <w:jc w:val="center"/>
        </w:trPr>
        <w:tc>
          <w:tcPr>
            <w:tcW w:w="3775" w:type="dxa"/>
          </w:tcPr>
          <w:p w14:paraId="027D1CA5" w14:textId="429248F9" w:rsidR="00BD4A51" w:rsidRDefault="00615A26" w:rsidP="00BD4A51">
            <w:pPr>
              <w:rPr>
                <w:noProof/>
              </w:rPr>
            </w:pPr>
            <w:r>
              <w:rPr>
                <w:noProof/>
              </w:rPr>
              <w:drawing>
                <wp:inline distT="0" distB="0" distL="0" distR="0" wp14:anchorId="7FA101E4" wp14:editId="67F248D7">
                  <wp:extent cx="2100580" cy="16818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09882" cy="1689257"/>
                          </a:xfrm>
                          <a:prstGeom prst="rect">
                            <a:avLst/>
                          </a:prstGeom>
                          <a:noFill/>
                          <a:ln>
                            <a:noFill/>
                          </a:ln>
                        </pic:spPr>
                      </pic:pic>
                    </a:graphicData>
                  </a:graphic>
                </wp:inline>
              </w:drawing>
            </w:r>
          </w:p>
        </w:tc>
        <w:tc>
          <w:tcPr>
            <w:tcW w:w="6388" w:type="dxa"/>
          </w:tcPr>
          <w:p w14:paraId="14C08DD8" w14:textId="09B0E683" w:rsidR="00BD4A51" w:rsidRDefault="00BD4A51" w:rsidP="00BD4A51">
            <w:pPr>
              <w:rPr>
                <w:rFonts w:ascii="Calibri" w:hAnsi="Calibri" w:cs="Calibri"/>
              </w:rPr>
            </w:pPr>
            <w:r>
              <w:rPr>
                <w:rFonts w:ascii="Calibri" w:hAnsi="Calibri" w:cs="Calibri"/>
              </w:rPr>
              <w:t>Did you know that y</w:t>
            </w:r>
            <w:r w:rsidRPr="00E60FD5">
              <w:rPr>
                <w:rFonts w:ascii="Calibri" w:hAnsi="Calibri" w:cs="Calibri"/>
              </w:rPr>
              <w:t xml:space="preserve">ou should pump your </w:t>
            </w:r>
            <w:proofErr w:type="gramStart"/>
            <w:r w:rsidRPr="00E60FD5">
              <w:rPr>
                <w:rFonts w:ascii="Calibri" w:hAnsi="Calibri" w:cs="Calibri"/>
              </w:rPr>
              <w:t>O</w:t>
            </w:r>
            <w:r>
              <w:rPr>
                <w:rFonts w:ascii="Calibri" w:hAnsi="Calibri" w:cs="Calibri"/>
              </w:rPr>
              <w:t xml:space="preserve">n </w:t>
            </w:r>
            <w:r w:rsidRPr="00E60FD5">
              <w:rPr>
                <w:rFonts w:ascii="Calibri" w:hAnsi="Calibri" w:cs="Calibri"/>
              </w:rPr>
              <w:t>S</w:t>
            </w:r>
            <w:r>
              <w:rPr>
                <w:rFonts w:ascii="Calibri" w:hAnsi="Calibri" w:cs="Calibri"/>
              </w:rPr>
              <w:t>ite</w:t>
            </w:r>
            <w:proofErr w:type="gramEnd"/>
            <w:r>
              <w:rPr>
                <w:rFonts w:ascii="Calibri" w:hAnsi="Calibri" w:cs="Calibri"/>
              </w:rPr>
              <w:t xml:space="preserve"> </w:t>
            </w:r>
            <w:r w:rsidRPr="00E60FD5">
              <w:rPr>
                <w:rFonts w:ascii="Calibri" w:hAnsi="Calibri" w:cs="Calibri"/>
              </w:rPr>
              <w:t>S</w:t>
            </w:r>
            <w:r>
              <w:rPr>
                <w:rFonts w:ascii="Calibri" w:hAnsi="Calibri" w:cs="Calibri"/>
              </w:rPr>
              <w:t xml:space="preserve">ewage </w:t>
            </w:r>
            <w:r w:rsidRPr="00E60FD5">
              <w:rPr>
                <w:rFonts w:ascii="Calibri" w:hAnsi="Calibri" w:cs="Calibri"/>
              </w:rPr>
              <w:t>F</w:t>
            </w:r>
            <w:r>
              <w:rPr>
                <w:rFonts w:ascii="Calibri" w:hAnsi="Calibri" w:cs="Calibri"/>
              </w:rPr>
              <w:t>acility</w:t>
            </w:r>
            <w:r w:rsidRPr="00E60FD5">
              <w:rPr>
                <w:rFonts w:ascii="Calibri" w:hAnsi="Calibri" w:cs="Calibri"/>
              </w:rPr>
              <w:t xml:space="preserve"> every </w:t>
            </w:r>
            <w:r>
              <w:rPr>
                <w:rFonts w:ascii="Calibri" w:hAnsi="Calibri" w:cs="Calibri"/>
              </w:rPr>
              <w:t>3</w:t>
            </w:r>
            <w:r w:rsidRPr="00E60FD5">
              <w:rPr>
                <w:rFonts w:ascii="Calibri" w:hAnsi="Calibri" w:cs="Calibri"/>
              </w:rPr>
              <w:t xml:space="preserve"> to </w:t>
            </w:r>
            <w:r>
              <w:rPr>
                <w:rFonts w:ascii="Calibri" w:hAnsi="Calibri" w:cs="Calibri"/>
              </w:rPr>
              <w:t>5</w:t>
            </w:r>
            <w:r w:rsidRPr="00E60FD5">
              <w:rPr>
                <w:rFonts w:ascii="Calibri" w:hAnsi="Calibri" w:cs="Calibri"/>
              </w:rPr>
              <w:t xml:space="preserve"> years to prevent short-circuiting the treatment process</w:t>
            </w:r>
            <w:r>
              <w:rPr>
                <w:rFonts w:ascii="Calibri" w:hAnsi="Calibri" w:cs="Calibri"/>
              </w:rPr>
              <w:t xml:space="preserve">? </w:t>
            </w:r>
            <w:r>
              <w:t>The importance of pumping your OSSF ensures the system is functioning properly, and it isn’t full.</w:t>
            </w:r>
            <w:r>
              <w:rPr>
                <w:rFonts w:ascii="Calibri" w:hAnsi="Calibri" w:cs="Calibri"/>
              </w:rPr>
              <w:t xml:space="preserve"> Learn more at </w:t>
            </w:r>
            <w:hyperlink r:id="rId25" w:history="1">
              <w:r w:rsidRPr="00992951">
                <w:rPr>
                  <w:rStyle w:val="Hyperlink"/>
                  <w:rFonts w:ascii="Calibri" w:hAnsi="Calibri" w:cs="Calibri"/>
                </w:rPr>
                <w:t>www.Nctcog.org/TMDL</w:t>
              </w:r>
            </w:hyperlink>
            <w:r>
              <w:rPr>
                <w:rFonts w:ascii="Calibri" w:hAnsi="Calibri" w:cs="Calibri"/>
              </w:rPr>
              <w:t xml:space="preserve">. </w:t>
            </w:r>
          </w:p>
        </w:tc>
      </w:tr>
      <w:tr w:rsidR="00615A26" w:rsidRPr="003F74AA" w14:paraId="7CCAA046" w14:textId="77777777" w:rsidTr="00615A26">
        <w:trPr>
          <w:jc w:val="center"/>
        </w:trPr>
        <w:tc>
          <w:tcPr>
            <w:tcW w:w="3775" w:type="dxa"/>
          </w:tcPr>
          <w:p w14:paraId="591A2E44" w14:textId="06E314E2" w:rsidR="00BD4A51" w:rsidRDefault="00615A26" w:rsidP="00BD4A51">
            <w:pPr>
              <w:rPr>
                <w:noProof/>
              </w:rPr>
            </w:pPr>
            <w:r>
              <w:rPr>
                <w:noProof/>
              </w:rPr>
              <w:lastRenderedPageBreak/>
              <w:drawing>
                <wp:inline distT="0" distB="0" distL="0" distR="0" wp14:anchorId="717824E2" wp14:editId="340C789A">
                  <wp:extent cx="2200275" cy="176163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05609" cy="1765900"/>
                          </a:xfrm>
                          <a:prstGeom prst="rect">
                            <a:avLst/>
                          </a:prstGeom>
                          <a:noFill/>
                          <a:ln>
                            <a:noFill/>
                          </a:ln>
                        </pic:spPr>
                      </pic:pic>
                    </a:graphicData>
                  </a:graphic>
                </wp:inline>
              </w:drawing>
            </w:r>
          </w:p>
        </w:tc>
        <w:tc>
          <w:tcPr>
            <w:tcW w:w="6388" w:type="dxa"/>
          </w:tcPr>
          <w:p w14:paraId="5C6DD67F" w14:textId="3C137E09" w:rsidR="00BD4A51" w:rsidRDefault="00BD4A51" w:rsidP="00BD4A51">
            <w:pPr>
              <w:rPr>
                <w:rFonts w:ascii="Calibri" w:hAnsi="Calibri" w:cs="Calibri"/>
              </w:rPr>
            </w:pPr>
            <w:r>
              <w:rPr>
                <w:rFonts w:ascii="Calibri" w:hAnsi="Calibri" w:cs="Calibri"/>
              </w:rPr>
              <w:t xml:space="preserve">Do you own a septic tank? </w:t>
            </w:r>
            <w:r>
              <w:t xml:space="preserve">Whether you’ve had a septic tank for years or recently had one installed, please visit </w:t>
            </w:r>
            <w:hyperlink r:id="rId27" w:history="1">
              <w:r w:rsidRPr="00992951">
                <w:rPr>
                  <w:rStyle w:val="Hyperlink"/>
                  <w:rFonts w:ascii="Calibri" w:hAnsi="Calibri" w:cs="Calibri"/>
                </w:rPr>
                <w:t>www.tceq.texas.gov/permitting/ossf/ossf_contacts.html</w:t>
              </w:r>
            </w:hyperlink>
            <w:r>
              <w:rPr>
                <w:rFonts w:ascii="Calibri" w:hAnsi="Calibri" w:cs="Calibri"/>
              </w:rPr>
              <w:t xml:space="preserve"> to learn who you can contact about technical information, licenses, local orders, and permitting issues. </w:t>
            </w:r>
          </w:p>
        </w:tc>
      </w:tr>
      <w:tr w:rsidR="00615A26" w:rsidRPr="003F74AA" w14:paraId="1460027B" w14:textId="77777777" w:rsidTr="00615A26">
        <w:trPr>
          <w:jc w:val="center"/>
        </w:trPr>
        <w:tc>
          <w:tcPr>
            <w:tcW w:w="3775" w:type="dxa"/>
          </w:tcPr>
          <w:p w14:paraId="36230D1D" w14:textId="1B580533" w:rsidR="00BD4A51" w:rsidRDefault="00615A26" w:rsidP="00BD4A51">
            <w:r>
              <w:rPr>
                <w:noProof/>
              </w:rPr>
              <w:drawing>
                <wp:inline distT="0" distB="0" distL="0" distR="0" wp14:anchorId="2A3EEFE8" wp14:editId="53D239B9">
                  <wp:extent cx="2157336" cy="17240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64736" cy="1729939"/>
                          </a:xfrm>
                          <a:prstGeom prst="rect">
                            <a:avLst/>
                          </a:prstGeom>
                          <a:noFill/>
                          <a:ln>
                            <a:noFill/>
                          </a:ln>
                        </pic:spPr>
                      </pic:pic>
                    </a:graphicData>
                  </a:graphic>
                </wp:inline>
              </w:drawing>
            </w:r>
          </w:p>
        </w:tc>
        <w:tc>
          <w:tcPr>
            <w:tcW w:w="6388" w:type="dxa"/>
          </w:tcPr>
          <w:p w14:paraId="49D326D7" w14:textId="588FC9FC" w:rsidR="00BD4A51" w:rsidRDefault="00BD4A51" w:rsidP="00BD4A51">
            <w:pPr>
              <w:rPr>
                <w:rFonts w:ascii="Verdana" w:hAnsi="Verdana"/>
                <w:color w:val="000000"/>
                <w:sz w:val="20"/>
                <w:szCs w:val="20"/>
                <w:shd w:val="clear" w:color="auto" w:fill="FFFFFF"/>
              </w:rPr>
            </w:pPr>
            <w:r>
              <w:rPr>
                <w:rFonts w:ascii="Calibri" w:hAnsi="Calibri" w:cs="Calibri"/>
              </w:rPr>
              <w:t xml:space="preserve">Before you can install an </w:t>
            </w:r>
            <w:proofErr w:type="gramStart"/>
            <w:r>
              <w:rPr>
                <w:rFonts w:ascii="Calibri" w:hAnsi="Calibri" w:cs="Calibri"/>
              </w:rPr>
              <w:t>O</w:t>
            </w:r>
            <w:r>
              <w:rPr>
                <w:rFonts w:ascii="Verdana" w:hAnsi="Verdana"/>
                <w:color w:val="000000"/>
                <w:sz w:val="20"/>
                <w:szCs w:val="20"/>
                <w:shd w:val="clear" w:color="auto" w:fill="FFFFFF"/>
              </w:rPr>
              <w:t>n Site</w:t>
            </w:r>
            <w:proofErr w:type="gramEnd"/>
            <w:r>
              <w:rPr>
                <w:rFonts w:ascii="Verdana" w:hAnsi="Verdana"/>
                <w:color w:val="000000"/>
                <w:sz w:val="20"/>
                <w:szCs w:val="20"/>
                <w:shd w:val="clear" w:color="auto" w:fill="FFFFFF"/>
              </w:rPr>
              <w:t xml:space="preserve"> Sewage Facility (OSSF), you must have the site e</w:t>
            </w:r>
            <w:r w:rsidRPr="00AE50BD">
              <w:rPr>
                <w:rFonts w:ascii="Verdana" w:hAnsi="Verdana"/>
                <w:color w:val="000000"/>
                <w:sz w:val="20"/>
                <w:szCs w:val="20"/>
                <w:shd w:val="clear" w:color="auto" w:fill="FFFFFF"/>
              </w:rPr>
              <w:t>valuated by a licensed site evaluator or a licensed professional engineer</w:t>
            </w:r>
            <w:r>
              <w:rPr>
                <w:rFonts w:ascii="Verdana" w:hAnsi="Verdana"/>
                <w:color w:val="000000"/>
                <w:sz w:val="20"/>
                <w:szCs w:val="20"/>
                <w:shd w:val="clear" w:color="auto" w:fill="FFFFFF"/>
              </w:rPr>
              <w:t xml:space="preserve">. Find the proper personnel at </w:t>
            </w:r>
            <w:hyperlink r:id="rId29" w:history="1">
              <w:r w:rsidRPr="006E0BB2">
                <w:rPr>
                  <w:rStyle w:val="Hyperlink"/>
                  <w:rFonts w:ascii="Verdana" w:hAnsi="Verdana"/>
                  <w:sz w:val="20"/>
                  <w:szCs w:val="20"/>
                  <w:shd w:val="clear" w:color="auto" w:fill="FFFFFF"/>
                </w:rPr>
                <w:t>www.tceq.texas.gov/permitting/ossf/ossfsystems.html</w:t>
              </w:r>
            </w:hyperlink>
            <w:r>
              <w:rPr>
                <w:rFonts w:ascii="Verdana" w:hAnsi="Verdana"/>
                <w:color w:val="000000"/>
                <w:sz w:val="20"/>
                <w:szCs w:val="20"/>
                <w:shd w:val="clear" w:color="auto" w:fill="FFFFFF"/>
              </w:rPr>
              <w:t>.</w:t>
            </w:r>
          </w:p>
          <w:p w14:paraId="79BAF543" w14:textId="7DFF6503" w:rsidR="00BD4A51" w:rsidRDefault="00BD4A51" w:rsidP="00BD4A51">
            <w:pPr>
              <w:rPr>
                <w:rFonts w:ascii="Calibri" w:hAnsi="Calibri" w:cs="Calibri"/>
              </w:rPr>
            </w:pPr>
          </w:p>
        </w:tc>
      </w:tr>
    </w:tbl>
    <w:p w14:paraId="6CC79A4F" w14:textId="77777777" w:rsidR="00DD1A31" w:rsidRDefault="00DD1A31" w:rsidP="00DD1A31">
      <w:pPr>
        <w:jc w:val="center"/>
      </w:pPr>
    </w:p>
    <w:sectPr w:rsidR="00DD1A31">
      <w:headerReference w:type="even" r:id="rId30"/>
      <w:headerReference w:type="default" r:id="rId31"/>
      <w:footerReference w:type="even" r:id="rId32"/>
      <w:footerReference w:type="default" r:id="rId33"/>
      <w:headerReference w:type="first" r:id="rId34"/>
      <w:footerReference w:type="firs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B0C84C" w14:textId="77777777" w:rsidR="001A4350" w:rsidRDefault="001A4350" w:rsidP="001A4350">
      <w:pPr>
        <w:spacing w:after="0" w:line="240" w:lineRule="auto"/>
      </w:pPr>
      <w:r>
        <w:separator/>
      </w:r>
    </w:p>
  </w:endnote>
  <w:endnote w:type="continuationSeparator" w:id="0">
    <w:p w14:paraId="4D36109A" w14:textId="77777777" w:rsidR="001A4350" w:rsidRDefault="001A4350" w:rsidP="001A43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592148" w14:textId="77777777" w:rsidR="001A4350" w:rsidRDefault="001A435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D0F494" w14:textId="77777777" w:rsidR="001A4350" w:rsidRDefault="001A435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E57023" w14:textId="77777777" w:rsidR="001A4350" w:rsidRDefault="001A43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E226F8" w14:textId="77777777" w:rsidR="001A4350" w:rsidRDefault="001A4350" w:rsidP="001A4350">
      <w:pPr>
        <w:spacing w:after="0" w:line="240" w:lineRule="auto"/>
      </w:pPr>
      <w:r>
        <w:separator/>
      </w:r>
    </w:p>
  </w:footnote>
  <w:footnote w:type="continuationSeparator" w:id="0">
    <w:p w14:paraId="34942313" w14:textId="77777777" w:rsidR="001A4350" w:rsidRDefault="001A4350" w:rsidP="001A43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861B3E" w14:textId="77777777" w:rsidR="001A4350" w:rsidRDefault="001A435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6754260"/>
      <w:docPartObj>
        <w:docPartGallery w:val="Watermarks"/>
        <w:docPartUnique/>
      </w:docPartObj>
    </w:sdtPr>
    <w:sdtEndPr/>
    <w:sdtContent>
      <w:p w14:paraId="7A503617" w14:textId="394F0891" w:rsidR="001A4350" w:rsidRDefault="00615A26">
        <w:pPr>
          <w:pStyle w:val="Header"/>
        </w:pPr>
        <w:r>
          <w:rPr>
            <w:noProof/>
          </w:rPr>
          <w:pict w14:anchorId="060BBD8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3DA96D" w14:textId="77777777" w:rsidR="001A4350" w:rsidRDefault="001A435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1A31"/>
    <w:rsid w:val="000D67F5"/>
    <w:rsid w:val="00124AD8"/>
    <w:rsid w:val="00152045"/>
    <w:rsid w:val="001532EC"/>
    <w:rsid w:val="00162032"/>
    <w:rsid w:val="001A4350"/>
    <w:rsid w:val="00236227"/>
    <w:rsid w:val="00263E44"/>
    <w:rsid w:val="002F398B"/>
    <w:rsid w:val="00345A42"/>
    <w:rsid w:val="00382663"/>
    <w:rsid w:val="003C50B7"/>
    <w:rsid w:val="0041669F"/>
    <w:rsid w:val="004A6588"/>
    <w:rsid w:val="004B4D15"/>
    <w:rsid w:val="00526FA4"/>
    <w:rsid w:val="005862FF"/>
    <w:rsid w:val="005A1936"/>
    <w:rsid w:val="005C1028"/>
    <w:rsid w:val="006006A1"/>
    <w:rsid w:val="00603D38"/>
    <w:rsid w:val="00615A26"/>
    <w:rsid w:val="00676FE9"/>
    <w:rsid w:val="006D6BCD"/>
    <w:rsid w:val="00726BF1"/>
    <w:rsid w:val="007953E6"/>
    <w:rsid w:val="007F7A54"/>
    <w:rsid w:val="009E32C5"/>
    <w:rsid w:val="009E4AC1"/>
    <w:rsid w:val="009F177A"/>
    <w:rsid w:val="00A16C6C"/>
    <w:rsid w:val="00AA70E7"/>
    <w:rsid w:val="00AE50BD"/>
    <w:rsid w:val="00B77083"/>
    <w:rsid w:val="00B87A01"/>
    <w:rsid w:val="00BA488E"/>
    <w:rsid w:val="00BD4A51"/>
    <w:rsid w:val="00BF017B"/>
    <w:rsid w:val="00CD555C"/>
    <w:rsid w:val="00D60C4F"/>
    <w:rsid w:val="00D71E06"/>
    <w:rsid w:val="00DB7292"/>
    <w:rsid w:val="00DD1A31"/>
    <w:rsid w:val="00DE27D2"/>
    <w:rsid w:val="00E13A19"/>
    <w:rsid w:val="00E43030"/>
    <w:rsid w:val="00E60FD5"/>
    <w:rsid w:val="00EB34EA"/>
    <w:rsid w:val="00ED396C"/>
    <w:rsid w:val="00EE7989"/>
    <w:rsid w:val="00F21B82"/>
    <w:rsid w:val="00F25E7C"/>
    <w:rsid w:val="00F41B99"/>
    <w:rsid w:val="00F45305"/>
    <w:rsid w:val="00F820C3"/>
    <w:rsid w:val="00F87E0C"/>
    <w:rsid w:val="00FB4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5A52352"/>
  <w15:chartTrackingRefBased/>
  <w15:docId w15:val="{23F82FEE-7D88-4EE3-8C9E-27DB5005B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1A31"/>
  </w:style>
  <w:style w:type="paragraph" w:styleId="Heading1">
    <w:name w:val="heading 1"/>
    <w:basedOn w:val="Normal"/>
    <w:next w:val="Normal"/>
    <w:link w:val="Heading1Char"/>
    <w:uiPriority w:val="9"/>
    <w:qFormat/>
    <w:rsid w:val="00DD1A3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D1A31"/>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DD1A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A70E7"/>
    <w:rPr>
      <w:color w:val="0563C1" w:themeColor="hyperlink"/>
      <w:u w:val="single"/>
    </w:rPr>
  </w:style>
  <w:style w:type="character" w:styleId="UnresolvedMention">
    <w:name w:val="Unresolved Mention"/>
    <w:basedOn w:val="DefaultParagraphFont"/>
    <w:uiPriority w:val="99"/>
    <w:semiHidden/>
    <w:unhideWhenUsed/>
    <w:rsid w:val="00AA70E7"/>
    <w:rPr>
      <w:color w:val="605E5C"/>
      <w:shd w:val="clear" w:color="auto" w:fill="E1DFDD"/>
    </w:rPr>
  </w:style>
  <w:style w:type="character" w:styleId="CommentReference">
    <w:name w:val="annotation reference"/>
    <w:basedOn w:val="DefaultParagraphFont"/>
    <w:uiPriority w:val="99"/>
    <w:semiHidden/>
    <w:unhideWhenUsed/>
    <w:rsid w:val="004A6588"/>
    <w:rPr>
      <w:sz w:val="16"/>
      <w:szCs w:val="16"/>
    </w:rPr>
  </w:style>
  <w:style w:type="paragraph" w:styleId="CommentText">
    <w:name w:val="annotation text"/>
    <w:basedOn w:val="Normal"/>
    <w:link w:val="CommentTextChar"/>
    <w:uiPriority w:val="99"/>
    <w:semiHidden/>
    <w:unhideWhenUsed/>
    <w:rsid w:val="004A6588"/>
    <w:pPr>
      <w:spacing w:line="240" w:lineRule="auto"/>
    </w:pPr>
    <w:rPr>
      <w:sz w:val="20"/>
      <w:szCs w:val="20"/>
    </w:rPr>
  </w:style>
  <w:style w:type="character" w:customStyle="1" w:styleId="CommentTextChar">
    <w:name w:val="Comment Text Char"/>
    <w:basedOn w:val="DefaultParagraphFont"/>
    <w:link w:val="CommentText"/>
    <w:uiPriority w:val="99"/>
    <w:semiHidden/>
    <w:rsid w:val="004A6588"/>
    <w:rPr>
      <w:sz w:val="20"/>
      <w:szCs w:val="20"/>
    </w:rPr>
  </w:style>
  <w:style w:type="paragraph" w:styleId="CommentSubject">
    <w:name w:val="annotation subject"/>
    <w:basedOn w:val="CommentText"/>
    <w:next w:val="CommentText"/>
    <w:link w:val="CommentSubjectChar"/>
    <w:uiPriority w:val="99"/>
    <w:semiHidden/>
    <w:unhideWhenUsed/>
    <w:rsid w:val="004A6588"/>
    <w:rPr>
      <w:b/>
      <w:bCs/>
    </w:rPr>
  </w:style>
  <w:style w:type="character" w:customStyle="1" w:styleId="CommentSubjectChar">
    <w:name w:val="Comment Subject Char"/>
    <w:basedOn w:val="CommentTextChar"/>
    <w:link w:val="CommentSubject"/>
    <w:uiPriority w:val="99"/>
    <w:semiHidden/>
    <w:rsid w:val="004A6588"/>
    <w:rPr>
      <w:b/>
      <w:bCs/>
      <w:sz w:val="20"/>
      <w:szCs w:val="20"/>
    </w:rPr>
  </w:style>
  <w:style w:type="paragraph" w:styleId="BalloonText">
    <w:name w:val="Balloon Text"/>
    <w:basedOn w:val="Normal"/>
    <w:link w:val="BalloonTextChar"/>
    <w:uiPriority w:val="99"/>
    <w:semiHidden/>
    <w:unhideWhenUsed/>
    <w:rsid w:val="006D6BC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6BCD"/>
    <w:rPr>
      <w:rFonts w:ascii="Segoe UI" w:hAnsi="Segoe UI" w:cs="Segoe UI"/>
      <w:sz w:val="18"/>
      <w:szCs w:val="18"/>
    </w:rPr>
  </w:style>
  <w:style w:type="paragraph" w:styleId="Header">
    <w:name w:val="header"/>
    <w:basedOn w:val="Normal"/>
    <w:link w:val="HeaderChar"/>
    <w:uiPriority w:val="99"/>
    <w:unhideWhenUsed/>
    <w:rsid w:val="001A43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4350"/>
  </w:style>
  <w:style w:type="paragraph" w:styleId="Footer">
    <w:name w:val="footer"/>
    <w:basedOn w:val="Normal"/>
    <w:link w:val="FooterChar"/>
    <w:uiPriority w:val="99"/>
    <w:unhideWhenUsed/>
    <w:rsid w:val="001A43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43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ceq.texas.gov/permitting/ossf/ossfmaintenance.html" TargetMode="External"/><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hyperlink" Target="https://www.tceq.texas.gov/permitting/registration/sludge/query.html" TargetMode="External"/><Relationship Id="rId34" Type="http://schemas.openxmlformats.org/officeDocument/2006/relationships/header" Target="header3.xml"/><Relationship Id="rId7" Type="http://schemas.openxmlformats.org/officeDocument/2006/relationships/image" Target="media/image1.jpeg"/><Relationship Id="rId12" Type="http://schemas.openxmlformats.org/officeDocument/2006/relationships/hyperlink" Target="http://www.Nctcog.org/TMDL" TargetMode="External"/><Relationship Id="rId17" Type="http://schemas.openxmlformats.org/officeDocument/2006/relationships/image" Target="media/image6.jpeg"/><Relationship Id="rId25" Type="http://schemas.openxmlformats.org/officeDocument/2006/relationships/hyperlink" Target="http://www.Nctcog.org/TMDL" TargetMode="External"/><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www.Nctcog.org/TMDL" TargetMode="External"/><Relationship Id="rId20" Type="http://schemas.openxmlformats.org/officeDocument/2006/relationships/image" Target="media/image8.jpeg"/><Relationship Id="rId29" Type="http://schemas.openxmlformats.org/officeDocument/2006/relationships/hyperlink" Target="http://www.tceq.texas.gov/permitting/ossf/ossfsystems.html"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0.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www.Nctcog.org/TMDL" TargetMode="External"/><Relationship Id="rId28" Type="http://schemas.openxmlformats.org/officeDocument/2006/relationships/image" Target="media/image12.jpeg"/><Relationship Id="rId36" Type="http://schemas.openxmlformats.org/officeDocument/2006/relationships/fontTable" Target="fontTable.xml"/><Relationship Id="rId10" Type="http://schemas.openxmlformats.org/officeDocument/2006/relationships/hyperlink" Target="http://www.Nctcog.org/TMDL" TargetMode="External"/><Relationship Id="rId19" Type="http://schemas.openxmlformats.org/officeDocument/2006/relationships/hyperlink" Target="http://www.Nctcog.org/TMDL" TargetMode="External"/><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Nctcog.org/TMDL" TargetMode="External"/><Relationship Id="rId22" Type="http://schemas.openxmlformats.org/officeDocument/2006/relationships/image" Target="media/image9.jpeg"/><Relationship Id="rId27" Type="http://schemas.openxmlformats.org/officeDocument/2006/relationships/hyperlink" Target="http://www.tceq.texas.gov/permitting/ossf/ossf_contacts.html" TargetMode="External"/><Relationship Id="rId30" Type="http://schemas.openxmlformats.org/officeDocument/2006/relationships/header" Target="header1.xml"/><Relationship Id="rId35"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23B6A2-4BD3-4967-AC07-B766C7BFD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707</TotalTime>
  <Pages>4</Pages>
  <Words>607</Words>
  <Characters>3464</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Renee Pearl</dc:creator>
  <cp:keywords/>
  <dc:description/>
  <cp:lastModifiedBy>Renee Pearl</cp:lastModifiedBy>
  <cp:revision>36</cp:revision>
  <dcterms:created xsi:type="dcterms:W3CDTF">2021-03-02T23:22:00Z</dcterms:created>
  <dcterms:modified xsi:type="dcterms:W3CDTF">2021-04-20T17:35:00Z</dcterms:modified>
</cp:coreProperties>
</file>