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C4241" w14:textId="693FAEFE" w:rsidR="00376895" w:rsidRDefault="00376895" w:rsidP="00A0247A">
      <w:pPr>
        <w:tabs>
          <w:tab w:val="left" w:pos="346"/>
          <w:tab w:val="left" w:pos="677"/>
          <w:tab w:val="left" w:pos="1210"/>
          <w:tab w:val="left" w:pos="5760"/>
          <w:tab w:val="left" w:pos="6120"/>
          <w:tab w:val="left" w:pos="6210"/>
          <w:tab w:val="left" w:pos="6300"/>
        </w:tabs>
        <w:ind w:right="-180"/>
      </w:pPr>
    </w:p>
    <w:p w14:paraId="64B0AD62" w14:textId="785D6D3F" w:rsidR="00F04923" w:rsidRDefault="00F04923" w:rsidP="00F04923">
      <w:pPr>
        <w:tabs>
          <w:tab w:val="left" w:pos="346"/>
          <w:tab w:val="left" w:pos="677"/>
          <w:tab w:val="left" w:pos="1210"/>
          <w:tab w:val="left" w:pos="4680"/>
          <w:tab w:val="left" w:pos="5760"/>
        </w:tabs>
        <w:jc w:val="center"/>
        <w:rPr>
          <w:b/>
        </w:rPr>
      </w:pPr>
      <w:r>
        <w:rPr>
          <w:b/>
        </w:rPr>
        <w:t>Amendment #</w:t>
      </w:r>
      <w:r w:rsidR="000F71C6">
        <w:rPr>
          <w:b/>
        </w:rPr>
        <w:t>4</w:t>
      </w:r>
      <w:r w:rsidRPr="00D054A7">
        <w:rPr>
          <w:b/>
        </w:rPr>
        <w:t xml:space="preserve"> to the</w:t>
      </w:r>
    </w:p>
    <w:p w14:paraId="68F86A75" w14:textId="7967E8BA" w:rsidR="00F04923" w:rsidRPr="00D054A7" w:rsidRDefault="00F04923" w:rsidP="00F04923">
      <w:pPr>
        <w:tabs>
          <w:tab w:val="left" w:pos="346"/>
          <w:tab w:val="left" w:pos="677"/>
          <w:tab w:val="left" w:pos="1210"/>
          <w:tab w:val="left" w:pos="4680"/>
          <w:tab w:val="left" w:pos="5760"/>
        </w:tabs>
        <w:jc w:val="center"/>
        <w:rPr>
          <w:b/>
          <w:u w:val="single"/>
        </w:rPr>
      </w:pPr>
      <w:r w:rsidRPr="00D054A7">
        <w:rPr>
          <w:b/>
          <w:u w:val="single"/>
        </w:rPr>
        <w:t>FY20</w:t>
      </w:r>
      <w:r>
        <w:rPr>
          <w:b/>
          <w:u w:val="single"/>
        </w:rPr>
        <w:t>2</w:t>
      </w:r>
      <w:r w:rsidR="00087DF9">
        <w:rPr>
          <w:b/>
          <w:u w:val="single"/>
        </w:rPr>
        <w:t>4</w:t>
      </w:r>
      <w:r w:rsidRPr="00D054A7">
        <w:rPr>
          <w:b/>
          <w:u w:val="single"/>
        </w:rPr>
        <w:t xml:space="preserve"> and FY20</w:t>
      </w:r>
      <w:r>
        <w:rPr>
          <w:b/>
          <w:u w:val="single"/>
        </w:rPr>
        <w:t>2</w:t>
      </w:r>
      <w:r w:rsidR="00087DF9">
        <w:rPr>
          <w:b/>
          <w:u w:val="single"/>
        </w:rPr>
        <w:t>5</w:t>
      </w:r>
      <w:r w:rsidRPr="00D054A7">
        <w:rPr>
          <w:b/>
          <w:u w:val="single"/>
        </w:rPr>
        <w:t xml:space="preserve"> Unified Planning Work Program</w:t>
      </w:r>
    </w:p>
    <w:p w14:paraId="1D18ECE3" w14:textId="77777777" w:rsidR="00F04923" w:rsidRPr="00D054A7" w:rsidRDefault="00F04923" w:rsidP="00F04923">
      <w:pPr>
        <w:tabs>
          <w:tab w:val="left" w:pos="346"/>
          <w:tab w:val="left" w:pos="677"/>
          <w:tab w:val="left" w:pos="1210"/>
          <w:tab w:val="left" w:pos="4680"/>
          <w:tab w:val="left" w:pos="5760"/>
        </w:tabs>
        <w:jc w:val="center"/>
        <w:rPr>
          <w:b/>
        </w:rPr>
      </w:pPr>
      <w:r w:rsidRPr="00D054A7">
        <w:rPr>
          <w:b/>
          <w:u w:val="single"/>
        </w:rPr>
        <w:t>for Regional Transportation Planning</w:t>
      </w:r>
    </w:p>
    <w:p w14:paraId="604486E5" w14:textId="77777777" w:rsidR="00F04923" w:rsidRDefault="00F04923" w:rsidP="00F04923">
      <w:pPr>
        <w:tabs>
          <w:tab w:val="left" w:pos="346"/>
          <w:tab w:val="left" w:pos="677"/>
          <w:tab w:val="left" w:pos="1210"/>
          <w:tab w:val="left" w:pos="4680"/>
          <w:tab w:val="left" w:pos="5760"/>
        </w:tabs>
      </w:pPr>
    </w:p>
    <w:p w14:paraId="0766614C" w14:textId="77777777" w:rsidR="00B162CE" w:rsidRDefault="00B162CE" w:rsidP="00F82494">
      <w:pPr>
        <w:tabs>
          <w:tab w:val="left" w:pos="346"/>
          <w:tab w:val="left" w:pos="677"/>
          <w:tab w:val="left" w:pos="1210"/>
          <w:tab w:val="left" w:pos="4680"/>
          <w:tab w:val="left" w:pos="5760"/>
        </w:tabs>
        <w:ind w:right="-180"/>
      </w:pPr>
    </w:p>
    <w:p w14:paraId="0CC9DDB8" w14:textId="11F967D8" w:rsidR="009107A4" w:rsidRPr="00BE7D58" w:rsidRDefault="009107A4" w:rsidP="009107A4">
      <w:pPr>
        <w:tabs>
          <w:tab w:val="left" w:pos="346"/>
          <w:tab w:val="left" w:pos="677"/>
          <w:tab w:val="left" w:pos="1210"/>
          <w:tab w:val="left" w:pos="4680"/>
          <w:tab w:val="left" w:pos="5760"/>
        </w:tabs>
      </w:pPr>
      <w:r w:rsidRPr="00BE7D58">
        <w:t xml:space="preserve">The </w:t>
      </w:r>
      <w:r w:rsidRPr="00D054A7">
        <w:rPr>
          <w:u w:val="single"/>
        </w:rPr>
        <w:t>Unified Planning Work Program for Regional Transportation Planning</w:t>
      </w:r>
      <w:r w:rsidRPr="00BE7D58">
        <w:t xml:space="preserve"> (UPWP) is required by federal and State transportation planning regulations and provides a summary of the</w:t>
      </w:r>
      <w:r>
        <w:t xml:space="preserve"> </w:t>
      </w:r>
      <w:r w:rsidRPr="00BE7D58">
        <w:t xml:space="preserve">transportation and </w:t>
      </w:r>
      <w:r>
        <w:t xml:space="preserve">related </w:t>
      </w:r>
      <w:r w:rsidRPr="00BE7D58">
        <w:t xml:space="preserve">air quality planning tasks to be conducted by </w:t>
      </w:r>
      <w:r>
        <w:t xml:space="preserve">the North Central Texas Council of Governments (NCTCOG) Transportation Department in support of the </w:t>
      </w:r>
      <w:r w:rsidRPr="00BE7D58">
        <w:t>Metropolitan Planning Organization (MPO). The FY20</w:t>
      </w:r>
      <w:r>
        <w:t>2</w:t>
      </w:r>
      <w:r w:rsidR="00087DF9">
        <w:t>4</w:t>
      </w:r>
      <w:r w:rsidRPr="00BE7D58">
        <w:t xml:space="preserve"> and FY20</w:t>
      </w:r>
      <w:r>
        <w:t>2</w:t>
      </w:r>
      <w:r w:rsidR="00087DF9">
        <w:t>5</w:t>
      </w:r>
      <w:r w:rsidRPr="00BE7D58">
        <w:t xml:space="preserve"> UPWP identifies the activities to be car</w:t>
      </w:r>
      <w:r>
        <w:t>ried out between October 1, 202</w:t>
      </w:r>
      <w:r w:rsidR="00087DF9">
        <w:t>3</w:t>
      </w:r>
      <w:r w:rsidRPr="00BE7D58">
        <w:t>, and September 30, 20</w:t>
      </w:r>
      <w:r>
        <w:t>2</w:t>
      </w:r>
      <w:r w:rsidR="00087DF9">
        <w:t>5</w:t>
      </w:r>
      <w:r w:rsidRPr="00BE7D58">
        <w:t>.</w:t>
      </w:r>
      <w:r>
        <w:t xml:space="preserve"> A full copy of the document can be found on NCTCOG’s website at </w:t>
      </w:r>
      <w:hyperlink r:id="rId8" w:history="1">
        <w:r w:rsidRPr="000E3CF7">
          <w:rPr>
            <w:rStyle w:val="Hyperlink"/>
          </w:rPr>
          <w:t>https://nctcog.org/trans/study/unified-planning-work-program</w:t>
        </w:r>
      </w:hyperlink>
      <w:r>
        <w:t xml:space="preserve">. </w:t>
      </w:r>
    </w:p>
    <w:p w14:paraId="374B8248" w14:textId="77777777" w:rsidR="009107A4" w:rsidRPr="00BE7D58" w:rsidRDefault="009107A4" w:rsidP="009107A4">
      <w:pPr>
        <w:tabs>
          <w:tab w:val="left" w:pos="346"/>
          <w:tab w:val="left" w:pos="677"/>
          <w:tab w:val="left" w:pos="1210"/>
          <w:tab w:val="left" w:pos="4680"/>
          <w:tab w:val="left" w:pos="5760"/>
        </w:tabs>
      </w:pPr>
    </w:p>
    <w:p w14:paraId="61411E25" w14:textId="2E08AF08" w:rsidR="00875D09" w:rsidRDefault="009107A4" w:rsidP="00875D09">
      <w:pPr>
        <w:tabs>
          <w:tab w:val="left" w:pos="346"/>
          <w:tab w:val="left" w:pos="677"/>
          <w:tab w:val="left" w:pos="1210"/>
          <w:tab w:val="left" w:pos="4680"/>
          <w:tab w:val="left" w:pos="5760"/>
        </w:tabs>
      </w:pPr>
      <w:r w:rsidRPr="00BE7D58">
        <w:t xml:space="preserve">Listed below </w:t>
      </w:r>
      <w:r>
        <w:t xml:space="preserve">is the </w:t>
      </w:r>
      <w:r w:rsidR="000F71C6">
        <w:t>fourth</w:t>
      </w:r>
      <w:r w:rsidR="00346CCD">
        <w:t xml:space="preserve"> </w:t>
      </w:r>
      <w:r>
        <w:t xml:space="preserve">set of </w:t>
      </w:r>
      <w:r w:rsidRPr="00BE7D58">
        <w:t>proposed modifications to the FY20</w:t>
      </w:r>
      <w:r>
        <w:t>2</w:t>
      </w:r>
      <w:r w:rsidR="00705206">
        <w:t>4</w:t>
      </w:r>
      <w:r w:rsidRPr="00BE7D58">
        <w:t xml:space="preserve"> and FY20</w:t>
      </w:r>
      <w:r>
        <w:t>2</w:t>
      </w:r>
      <w:r w:rsidR="00705206">
        <w:t>5</w:t>
      </w:r>
      <w:r w:rsidR="00C94221">
        <w:t xml:space="preserve"> </w:t>
      </w:r>
      <w:r w:rsidRPr="00BE7D58">
        <w:t xml:space="preserve">UPWP. </w:t>
      </w:r>
      <w:r>
        <w:t xml:space="preserve"> </w:t>
      </w:r>
      <w:r w:rsidR="00875D09">
        <w:t>Included in these amendments are</w:t>
      </w:r>
      <w:r w:rsidR="00342A95">
        <w:t xml:space="preserve"> new initiatives</w:t>
      </w:r>
      <w:r w:rsidR="00295BC0" w:rsidRPr="004B19D4">
        <w:t xml:space="preserve">, project updates, and </w:t>
      </w:r>
      <w:r w:rsidR="00875D09" w:rsidRPr="004B19D4">
        <w:t>funding adjustments</w:t>
      </w:r>
      <w:r w:rsidR="00295BC0" w:rsidRPr="004B19D4">
        <w:t>.</w:t>
      </w:r>
    </w:p>
    <w:p w14:paraId="228F0564" w14:textId="77777777" w:rsidR="000F71C6" w:rsidRDefault="000F71C6" w:rsidP="00875D09">
      <w:pPr>
        <w:tabs>
          <w:tab w:val="left" w:pos="346"/>
          <w:tab w:val="left" w:pos="677"/>
          <w:tab w:val="left" w:pos="1210"/>
          <w:tab w:val="left" w:pos="4680"/>
          <w:tab w:val="left" w:pos="5760"/>
        </w:tabs>
      </w:pPr>
    </w:p>
    <w:p w14:paraId="69B1883D" w14:textId="019051AC" w:rsidR="006115E1" w:rsidRDefault="006115E1" w:rsidP="006115E1">
      <w:r>
        <w:t xml:space="preserve">NCTCOG has not received direction from the Federal Highway Administration or Federal Transit Administration on the implications to the UPWP resulting from the recent Executive Orders issued by President Trump. NCTCOG anticipates receiving some direction in the future. There may or may not be modifications needed to the UPWP as a result. If modifications are necessary, those items will be incorporated into the development of the FY2026 and FY2027 UPWP which is due to the Texas Department of Transportation in draft form </w:t>
      </w:r>
      <w:r w:rsidR="00337BBE" w:rsidRPr="0032248A">
        <w:t>by June 1, 2025.</w:t>
      </w:r>
    </w:p>
    <w:p w14:paraId="1A2E6429" w14:textId="77777777" w:rsidR="00875D09" w:rsidRDefault="00875D09" w:rsidP="00875D09">
      <w:pPr>
        <w:tabs>
          <w:tab w:val="left" w:pos="346"/>
          <w:tab w:val="left" w:pos="677"/>
          <w:tab w:val="left" w:pos="1210"/>
          <w:tab w:val="left" w:pos="4680"/>
          <w:tab w:val="left" w:pos="5760"/>
        </w:tabs>
        <w:ind w:right="-180"/>
      </w:pPr>
    </w:p>
    <w:p w14:paraId="5074F1AC" w14:textId="77777777" w:rsidR="000C7C27" w:rsidRPr="00724C75" w:rsidRDefault="000C7C27" w:rsidP="000C7C27">
      <w:pPr>
        <w:tabs>
          <w:tab w:val="left" w:pos="346"/>
          <w:tab w:val="left" w:pos="677"/>
          <w:tab w:val="left" w:pos="1210"/>
          <w:tab w:val="left" w:pos="4680"/>
          <w:tab w:val="left" w:pos="5760"/>
        </w:tabs>
        <w:ind w:right="-180"/>
        <w:rPr>
          <w:b/>
          <w:bCs/>
        </w:rPr>
      </w:pPr>
      <w:r w:rsidRPr="00724C75">
        <w:rPr>
          <w:b/>
          <w:bCs/>
        </w:rPr>
        <w:t xml:space="preserve">The following modifications reflect </w:t>
      </w:r>
      <w:r>
        <w:rPr>
          <w:b/>
          <w:bCs/>
        </w:rPr>
        <w:t xml:space="preserve">new </w:t>
      </w:r>
      <w:r w:rsidRPr="00724C75">
        <w:rPr>
          <w:b/>
          <w:bCs/>
        </w:rPr>
        <w:t xml:space="preserve">initiatives </w:t>
      </w:r>
      <w:r>
        <w:rPr>
          <w:b/>
          <w:bCs/>
        </w:rPr>
        <w:t xml:space="preserve">proposed for inclusion in the Unified Planning Work Program that have </w:t>
      </w:r>
      <w:r w:rsidRPr="00724C75">
        <w:rPr>
          <w:b/>
          <w:bCs/>
        </w:rPr>
        <w:t xml:space="preserve">not yet </w:t>
      </w:r>
      <w:r>
        <w:rPr>
          <w:b/>
          <w:bCs/>
        </w:rPr>
        <w:t xml:space="preserve">been approved by the Regional Transportation Council: </w:t>
      </w:r>
    </w:p>
    <w:p w14:paraId="31683D96" w14:textId="77777777" w:rsidR="000C7C27" w:rsidRPr="008B5240" w:rsidRDefault="000C7C27" w:rsidP="000C7C27">
      <w:pPr>
        <w:ind w:left="720" w:right="101" w:hanging="720"/>
        <w:rPr>
          <w:rFonts w:cs="Arial"/>
        </w:rPr>
      </w:pPr>
    </w:p>
    <w:p w14:paraId="381CE1B5" w14:textId="33CD0CE1" w:rsidR="00B8018B" w:rsidRPr="00E755F4" w:rsidRDefault="00E755F4" w:rsidP="00954E76">
      <w:pPr>
        <w:tabs>
          <w:tab w:val="left" w:pos="346"/>
          <w:tab w:val="left" w:pos="900"/>
          <w:tab w:val="left" w:pos="1210"/>
          <w:tab w:val="left" w:pos="4680"/>
          <w:tab w:val="left" w:pos="5760"/>
        </w:tabs>
        <w:ind w:left="720" w:right="-180" w:hanging="720"/>
      </w:pPr>
      <w:r>
        <w:t>5.03</w:t>
      </w:r>
      <w:r w:rsidR="00B8018B" w:rsidRPr="00E755F4">
        <w:tab/>
      </w:r>
      <w:r>
        <w:t>Land-use/Transportation Initiatives – White Settlement Downtown Community Development Plan (add initiative and $200,000 in Transportation Planning Funds)</w:t>
      </w:r>
    </w:p>
    <w:p w14:paraId="3F3A8006" w14:textId="77777777" w:rsidR="00173ECB" w:rsidRPr="00BE1ACE" w:rsidRDefault="00173ECB" w:rsidP="00954E76">
      <w:pPr>
        <w:tabs>
          <w:tab w:val="left" w:pos="346"/>
          <w:tab w:val="left" w:pos="900"/>
          <w:tab w:val="left" w:pos="1210"/>
          <w:tab w:val="left" w:pos="4680"/>
          <w:tab w:val="left" w:pos="5760"/>
        </w:tabs>
        <w:ind w:left="720" w:right="-180" w:hanging="720"/>
      </w:pPr>
    </w:p>
    <w:p w14:paraId="4D5FC3FB" w14:textId="2BDCE8F8" w:rsidR="00173ECB" w:rsidRPr="00BE1ACE" w:rsidRDefault="00BE1ACE" w:rsidP="00954E76">
      <w:pPr>
        <w:tabs>
          <w:tab w:val="left" w:pos="346"/>
          <w:tab w:val="left" w:pos="900"/>
          <w:tab w:val="left" w:pos="1210"/>
          <w:tab w:val="left" w:pos="4680"/>
          <w:tab w:val="left" w:pos="5760"/>
        </w:tabs>
        <w:ind w:left="720" w:right="-180" w:hanging="720"/>
      </w:pPr>
      <w:r w:rsidRPr="00BE1ACE">
        <w:t>5.14</w:t>
      </w:r>
      <w:r w:rsidRPr="00BE1ACE">
        <w:tab/>
        <w:t>Alternative Fuel Corridor Planning (add initiative and $200,000 in Transportation Planning Funds)</w:t>
      </w:r>
    </w:p>
    <w:p w14:paraId="1A018692" w14:textId="77777777" w:rsidR="00173ECB" w:rsidRPr="00BE1ACE" w:rsidRDefault="00173ECB" w:rsidP="00730C22">
      <w:pPr>
        <w:tabs>
          <w:tab w:val="left" w:pos="346"/>
          <w:tab w:val="left" w:pos="900"/>
          <w:tab w:val="left" w:pos="1210"/>
          <w:tab w:val="left" w:pos="4680"/>
          <w:tab w:val="left" w:pos="5760"/>
        </w:tabs>
        <w:ind w:left="630" w:right="-180" w:hanging="630"/>
      </w:pPr>
    </w:p>
    <w:p w14:paraId="2F753118" w14:textId="77777777" w:rsidR="00507DBF" w:rsidRPr="00507DBF" w:rsidRDefault="00507DBF" w:rsidP="00730C22">
      <w:pPr>
        <w:tabs>
          <w:tab w:val="left" w:pos="346"/>
          <w:tab w:val="left" w:pos="900"/>
          <w:tab w:val="left" w:pos="1210"/>
          <w:tab w:val="left" w:pos="4680"/>
          <w:tab w:val="left" w:pos="5760"/>
        </w:tabs>
        <w:ind w:left="630" w:right="-180" w:hanging="630"/>
      </w:pPr>
    </w:p>
    <w:p w14:paraId="67F82FFD" w14:textId="77777777" w:rsidR="000C7C27" w:rsidRPr="005A20C2" w:rsidRDefault="000C7C27" w:rsidP="00875D09">
      <w:pPr>
        <w:tabs>
          <w:tab w:val="left" w:pos="346"/>
          <w:tab w:val="left" w:pos="677"/>
          <w:tab w:val="left" w:pos="1210"/>
          <w:tab w:val="left" w:pos="4680"/>
          <w:tab w:val="left" w:pos="5760"/>
        </w:tabs>
        <w:ind w:right="-180"/>
      </w:pPr>
    </w:p>
    <w:p w14:paraId="0BB582ED" w14:textId="77777777" w:rsidR="005A20C2" w:rsidRDefault="005A20C2">
      <w:pPr>
        <w:spacing w:after="160" w:line="259" w:lineRule="auto"/>
        <w:rPr>
          <w:b/>
          <w:bCs/>
        </w:rPr>
      </w:pPr>
      <w:r>
        <w:rPr>
          <w:b/>
          <w:bCs/>
        </w:rPr>
        <w:br w:type="page"/>
      </w:r>
    </w:p>
    <w:p w14:paraId="00C52FE5" w14:textId="59E6F0EC" w:rsidR="00875D09" w:rsidRPr="00875D09" w:rsidRDefault="00875D09" w:rsidP="00875D09">
      <w:pPr>
        <w:tabs>
          <w:tab w:val="left" w:pos="346"/>
          <w:tab w:val="left" w:pos="677"/>
          <w:tab w:val="left" w:pos="1210"/>
          <w:tab w:val="left" w:pos="4680"/>
          <w:tab w:val="left" w:pos="5760"/>
        </w:tabs>
        <w:ind w:right="-180"/>
        <w:rPr>
          <w:b/>
          <w:bCs/>
        </w:rPr>
      </w:pPr>
      <w:r w:rsidRPr="00875D09">
        <w:rPr>
          <w:b/>
          <w:bCs/>
        </w:rPr>
        <w:lastRenderedPageBreak/>
        <w:t>The following modification</w:t>
      </w:r>
      <w:r w:rsidR="00295BC0">
        <w:rPr>
          <w:b/>
          <w:bCs/>
        </w:rPr>
        <w:t>s</w:t>
      </w:r>
      <w:r w:rsidRPr="00875D09">
        <w:rPr>
          <w:b/>
          <w:bCs/>
        </w:rPr>
        <w:t xml:space="preserve"> affect existing project</w:t>
      </w:r>
      <w:r w:rsidR="00295BC0">
        <w:rPr>
          <w:b/>
          <w:bCs/>
        </w:rPr>
        <w:t>s</w:t>
      </w:r>
      <w:r w:rsidRPr="00875D09">
        <w:rPr>
          <w:b/>
          <w:bCs/>
        </w:rPr>
        <w:t xml:space="preserve"> for which text update</w:t>
      </w:r>
      <w:r w:rsidR="00295BC0">
        <w:rPr>
          <w:b/>
          <w:bCs/>
        </w:rPr>
        <w:t>s</w:t>
      </w:r>
      <w:r w:rsidRPr="00875D09">
        <w:rPr>
          <w:b/>
          <w:bCs/>
        </w:rPr>
        <w:t xml:space="preserve"> and</w:t>
      </w:r>
      <w:r w:rsidR="00295BC0">
        <w:rPr>
          <w:b/>
          <w:bCs/>
        </w:rPr>
        <w:t>/or</w:t>
      </w:r>
      <w:r w:rsidRPr="00875D09">
        <w:rPr>
          <w:b/>
          <w:bCs/>
        </w:rPr>
        <w:t xml:space="preserve"> financial adjustment</w:t>
      </w:r>
      <w:r w:rsidR="00295BC0">
        <w:rPr>
          <w:b/>
          <w:bCs/>
        </w:rPr>
        <w:t>s</w:t>
      </w:r>
      <w:r w:rsidRPr="00875D09">
        <w:rPr>
          <w:b/>
          <w:bCs/>
        </w:rPr>
        <w:t xml:space="preserve"> are being proposed:</w:t>
      </w:r>
    </w:p>
    <w:p w14:paraId="27CB241B" w14:textId="29243EE8" w:rsidR="00875D09" w:rsidRDefault="00875D09" w:rsidP="00875D09">
      <w:pPr>
        <w:tabs>
          <w:tab w:val="left" w:pos="346"/>
          <w:tab w:val="left" w:pos="677"/>
          <w:tab w:val="left" w:pos="1210"/>
          <w:tab w:val="left" w:pos="4680"/>
          <w:tab w:val="left" w:pos="5760"/>
        </w:tabs>
        <w:ind w:right="-180"/>
      </w:pPr>
    </w:p>
    <w:p w14:paraId="4EFED13C" w14:textId="4C7F5599" w:rsidR="007330DB" w:rsidRDefault="007330DB" w:rsidP="007330DB">
      <w:pPr>
        <w:ind w:right="101"/>
        <w:rPr>
          <w:rFonts w:cs="Arial"/>
        </w:rPr>
      </w:pPr>
      <w:r>
        <w:rPr>
          <w:rFonts w:cs="Arial"/>
        </w:rPr>
        <w:t>FY2025 Budget Adjustments:</w:t>
      </w:r>
    </w:p>
    <w:p w14:paraId="20ADBBCC" w14:textId="77777777" w:rsidR="007330DB" w:rsidRDefault="007330DB" w:rsidP="007330DB">
      <w:pPr>
        <w:ind w:right="101"/>
        <w:rPr>
          <w:rFonts w:cs="Arial"/>
        </w:rPr>
      </w:pPr>
    </w:p>
    <w:p w14:paraId="440A4226" w14:textId="5AEE4B1B" w:rsidR="007330DB" w:rsidRDefault="007330DB" w:rsidP="00954E76">
      <w:pPr>
        <w:tabs>
          <w:tab w:val="left" w:pos="677"/>
          <w:tab w:val="left" w:pos="1210"/>
          <w:tab w:val="left" w:pos="4680"/>
          <w:tab w:val="left" w:pos="5760"/>
        </w:tabs>
        <w:ind w:left="720" w:hanging="720"/>
      </w:pPr>
      <w:r>
        <w:rPr>
          <w:rFonts w:cs="Arial"/>
        </w:rPr>
        <w:tab/>
        <w:t xml:space="preserve">A reallocation of resources across various UPWP Subtasks are noted in the tables below, resulting from NCTCOG’s FY2025 budget development. </w:t>
      </w:r>
      <w:r w:rsidRPr="003F624A">
        <w:t>The changes are highlighted by funding source – Transportation Planning Funds and non-Transportation Planning Funds (</w:t>
      </w:r>
      <w:r>
        <w:t xml:space="preserve">Congestion Mitigation and Air Quality Improvement Program [CMAQ], Department of Defense [DOD], </w:t>
      </w:r>
      <w:r w:rsidRPr="00284989">
        <w:t>Department of Energy</w:t>
      </w:r>
      <w:r>
        <w:t xml:space="preserve"> [DOE], Federal Highway Administration [FHWA], </w:t>
      </w:r>
      <w:r w:rsidRPr="00284989">
        <w:t>Federal Transit Administration</w:t>
      </w:r>
      <w:r>
        <w:t xml:space="preserve"> [FTA]</w:t>
      </w:r>
      <w:r w:rsidRPr="00284989">
        <w:t xml:space="preserve">, Local, </w:t>
      </w:r>
      <w:r>
        <w:t xml:space="preserve">North Texas Tollway Authority [NTTA], </w:t>
      </w:r>
      <w:r w:rsidRPr="00284989">
        <w:t>Regional Toll Revenue</w:t>
      </w:r>
      <w:r>
        <w:t xml:space="preserve"> [RTR]</w:t>
      </w:r>
      <w:r w:rsidRPr="00284989">
        <w:t>, Surface Transportation Block Grant Program</w:t>
      </w:r>
      <w:r>
        <w:t xml:space="preserve"> [STBG]), Texas Water Development Board [TWDB], and Texas Department of Transportation [TxDOT].</w:t>
      </w:r>
      <w:r w:rsidRPr="003F624A">
        <w:t xml:space="preserve"> </w:t>
      </w:r>
    </w:p>
    <w:p w14:paraId="6C5D72DB" w14:textId="77777777" w:rsidR="007330DB" w:rsidRDefault="007330DB" w:rsidP="00B3255D">
      <w:pPr>
        <w:tabs>
          <w:tab w:val="left" w:pos="346"/>
          <w:tab w:val="left" w:pos="677"/>
          <w:tab w:val="left" w:pos="1210"/>
          <w:tab w:val="left" w:pos="4680"/>
          <w:tab w:val="left" w:pos="5760"/>
        </w:tabs>
        <w:ind w:left="810" w:right="-180" w:hanging="810"/>
      </w:pPr>
    </w:p>
    <w:p w14:paraId="580C273B" w14:textId="7B7A43C2" w:rsidR="007330DB" w:rsidRDefault="007330DB" w:rsidP="007330DB">
      <w:pPr>
        <w:jc w:val="center"/>
        <w:rPr>
          <w:rFonts w:cs="Arial"/>
          <w:b/>
          <w:bCs/>
        </w:rPr>
      </w:pPr>
      <w:r w:rsidRPr="00CB0716">
        <w:rPr>
          <w:rFonts w:cs="Arial"/>
          <w:b/>
          <w:bCs/>
        </w:rPr>
        <w:t>FY202</w:t>
      </w:r>
      <w:r>
        <w:rPr>
          <w:rFonts w:cs="Arial"/>
          <w:b/>
          <w:bCs/>
        </w:rPr>
        <w:t>4</w:t>
      </w:r>
      <w:r w:rsidRPr="00CB0716">
        <w:rPr>
          <w:rFonts w:cs="Arial"/>
          <w:b/>
          <w:bCs/>
        </w:rPr>
        <w:t xml:space="preserve"> and FY202</w:t>
      </w:r>
      <w:r>
        <w:rPr>
          <w:rFonts w:cs="Arial"/>
          <w:b/>
          <w:bCs/>
        </w:rPr>
        <w:t>5</w:t>
      </w:r>
      <w:r w:rsidRPr="00CB0716">
        <w:rPr>
          <w:rFonts w:cs="Arial"/>
          <w:b/>
          <w:bCs/>
        </w:rPr>
        <w:t xml:space="preserve"> Allocation of Transportation Planning Funds</w:t>
      </w:r>
    </w:p>
    <w:p w14:paraId="58C7CDB8" w14:textId="77777777" w:rsidR="007330DB" w:rsidRDefault="007330DB" w:rsidP="00875D09">
      <w:pPr>
        <w:tabs>
          <w:tab w:val="left" w:pos="346"/>
          <w:tab w:val="left" w:pos="677"/>
          <w:tab w:val="left" w:pos="1210"/>
          <w:tab w:val="left" w:pos="4680"/>
          <w:tab w:val="left" w:pos="5760"/>
        </w:tabs>
        <w:ind w:right="-180"/>
      </w:pPr>
    </w:p>
    <w:tbl>
      <w:tblPr>
        <w:tblW w:w="9355" w:type="dxa"/>
        <w:jc w:val="center"/>
        <w:tblLook w:val="04A0" w:firstRow="1" w:lastRow="0" w:firstColumn="1" w:lastColumn="0" w:noHBand="0" w:noVBand="1"/>
      </w:tblPr>
      <w:tblGrid>
        <w:gridCol w:w="995"/>
        <w:gridCol w:w="4480"/>
        <w:gridCol w:w="1329"/>
        <w:gridCol w:w="1307"/>
        <w:gridCol w:w="1244"/>
      </w:tblGrid>
      <w:tr w:rsidR="00B3255D" w:rsidRPr="00CB0716" w14:paraId="55CF2686" w14:textId="77777777" w:rsidTr="00156230">
        <w:trPr>
          <w:trHeight w:val="405"/>
          <w:jc w:val="center"/>
        </w:trPr>
        <w:tc>
          <w:tcPr>
            <w:tcW w:w="995" w:type="dxa"/>
            <w:vMerge w:val="restart"/>
            <w:tcBorders>
              <w:top w:val="double" w:sz="4" w:space="0" w:color="auto"/>
              <w:left w:val="double" w:sz="4" w:space="0" w:color="auto"/>
              <w:bottom w:val="double" w:sz="6" w:space="0" w:color="000000"/>
              <w:right w:val="single" w:sz="4" w:space="0" w:color="auto"/>
            </w:tcBorders>
            <w:shd w:val="clear" w:color="auto" w:fill="D3E5F6" w:themeFill="accent3" w:themeFillTint="33"/>
            <w:noWrap/>
            <w:vAlign w:val="center"/>
            <w:hideMark/>
          </w:tcPr>
          <w:p w14:paraId="5110BF23" w14:textId="77777777" w:rsidR="00B3255D" w:rsidRPr="00CB0716" w:rsidRDefault="00B3255D" w:rsidP="00E26A16">
            <w:pPr>
              <w:jc w:val="center"/>
              <w:rPr>
                <w:rFonts w:cs="Arial"/>
                <w:b/>
                <w:bCs/>
                <w:sz w:val="20"/>
                <w:szCs w:val="20"/>
              </w:rPr>
            </w:pPr>
            <w:bookmarkStart w:id="0" w:name="_Hlk190163453"/>
            <w:r w:rsidRPr="00CB0716">
              <w:rPr>
                <w:rFonts w:cs="Arial"/>
                <w:b/>
                <w:bCs/>
                <w:sz w:val="20"/>
                <w:szCs w:val="20"/>
              </w:rPr>
              <w:t>Subtask</w:t>
            </w:r>
          </w:p>
        </w:tc>
        <w:tc>
          <w:tcPr>
            <w:tcW w:w="4480" w:type="dxa"/>
            <w:vMerge w:val="restart"/>
            <w:tcBorders>
              <w:top w:val="double" w:sz="4" w:space="0" w:color="auto"/>
              <w:left w:val="single" w:sz="4" w:space="0" w:color="auto"/>
              <w:bottom w:val="double" w:sz="6" w:space="0" w:color="000000"/>
              <w:right w:val="single" w:sz="4" w:space="0" w:color="auto"/>
            </w:tcBorders>
            <w:shd w:val="clear" w:color="auto" w:fill="D3E5F6" w:themeFill="accent3" w:themeFillTint="33"/>
            <w:noWrap/>
            <w:vAlign w:val="center"/>
            <w:hideMark/>
          </w:tcPr>
          <w:p w14:paraId="0A817D81" w14:textId="77777777" w:rsidR="00B3255D" w:rsidRPr="00CB0716" w:rsidRDefault="00B3255D" w:rsidP="00E26A16">
            <w:pPr>
              <w:jc w:val="center"/>
              <w:rPr>
                <w:rFonts w:cs="Arial"/>
                <w:b/>
                <w:bCs/>
                <w:sz w:val="20"/>
                <w:szCs w:val="20"/>
              </w:rPr>
            </w:pPr>
            <w:r w:rsidRPr="00CB0716">
              <w:rPr>
                <w:rFonts w:cs="Arial"/>
                <w:b/>
                <w:bCs/>
                <w:sz w:val="20"/>
                <w:szCs w:val="20"/>
              </w:rPr>
              <w:t>Subtask Title</w:t>
            </w:r>
          </w:p>
        </w:tc>
        <w:tc>
          <w:tcPr>
            <w:tcW w:w="3880" w:type="dxa"/>
            <w:gridSpan w:val="3"/>
            <w:tcBorders>
              <w:top w:val="double" w:sz="4" w:space="0" w:color="auto"/>
              <w:left w:val="nil"/>
              <w:bottom w:val="single" w:sz="4" w:space="0" w:color="auto"/>
              <w:right w:val="double" w:sz="4" w:space="0" w:color="auto"/>
            </w:tcBorders>
            <w:shd w:val="clear" w:color="auto" w:fill="D3E5F6" w:themeFill="accent3" w:themeFillTint="33"/>
            <w:noWrap/>
            <w:vAlign w:val="center"/>
            <w:hideMark/>
          </w:tcPr>
          <w:p w14:paraId="24B884E6" w14:textId="77777777" w:rsidR="00B3255D" w:rsidRPr="00CB0716" w:rsidRDefault="00B3255D" w:rsidP="00E26A16">
            <w:pPr>
              <w:jc w:val="center"/>
              <w:rPr>
                <w:rFonts w:cs="Arial"/>
                <w:b/>
                <w:bCs/>
                <w:sz w:val="20"/>
                <w:szCs w:val="20"/>
              </w:rPr>
            </w:pPr>
            <w:r w:rsidRPr="00CB0716">
              <w:rPr>
                <w:rFonts w:cs="Arial"/>
                <w:b/>
                <w:bCs/>
                <w:sz w:val="20"/>
                <w:szCs w:val="20"/>
              </w:rPr>
              <w:t>2-Year Totals</w:t>
            </w:r>
          </w:p>
        </w:tc>
      </w:tr>
      <w:tr w:rsidR="00B3255D" w:rsidRPr="00CB0716" w14:paraId="6CF917C4" w14:textId="77777777" w:rsidTr="00156230">
        <w:trPr>
          <w:trHeight w:val="465"/>
          <w:jc w:val="center"/>
        </w:trPr>
        <w:tc>
          <w:tcPr>
            <w:tcW w:w="995" w:type="dxa"/>
            <w:vMerge/>
            <w:tcBorders>
              <w:top w:val="nil"/>
              <w:left w:val="double" w:sz="4" w:space="0" w:color="auto"/>
              <w:bottom w:val="double" w:sz="6" w:space="0" w:color="000000"/>
              <w:right w:val="single" w:sz="4" w:space="0" w:color="auto"/>
            </w:tcBorders>
            <w:shd w:val="clear" w:color="auto" w:fill="D3E5F6" w:themeFill="accent3" w:themeFillTint="33"/>
            <w:vAlign w:val="center"/>
            <w:hideMark/>
          </w:tcPr>
          <w:p w14:paraId="0705BAA6" w14:textId="77777777" w:rsidR="00B3255D" w:rsidRPr="00CB0716" w:rsidRDefault="00B3255D" w:rsidP="00E26A16">
            <w:pPr>
              <w:rPr>
                <w:rFonts w:cs="Arial"/>
                <w:b/>
                <w:bCs/>
                <w:sz w:val="20"/>
                <w:szCs w:val="20"/>
              </w:rPr>
            </w:pPr>
          </w:p>
        </w:tc>
        <w:tc>
          <w:tcPr>
            <w:tcW w:w="4480" w:type="dxa"/>
            <w:vMerge/>
            <w:tcBorders>
              <w:top w:val="nil"/>
              <w:left w:val="single" w:sz="4" w:space="0" w:color="auto"/>
              <w:bottom w:val="double" w:sz="6" w:space="0" w:color="000000"/>
              <w:right w:val="single" w:sz="4" w:space="0" w:color="auto"/>
            </w:tcBorders>
            <w:shd w:val="clear" w:color="auto" w:fill="D3E5F6" w:themeFill="accent3" w:themeFillTint="33"/>
            <w:vAlign w:val="center"/>
            <w:hideMark/>
          </w:tcPr>
          <w:p w14:paraId="01D62F3A" w14:textId="77777777" w:rsidR="00B3255D" w:rsidRPr="00CB0716" w:rsidRDefault="00B3255D" w:rsidP="00E26A16">
            <w:pPr>
              <w:rPr>
                <w:rFonts w:cs="Arial"/>
                <w:b/>
                <w:bCs/>
                <w:sz w:val="20"/>
                <w:szCs w:val="20"/>
              </w:rPr>
            </w:pPr>
          </w:p>
        </w:tc>
        <w:tc>
          <w:tcPr>
            <w:tcW w:w="1329" w:type="dxa"/>
            <w:tcBorders>
              <w:top w:val="nil"/>
              <w:left w:val="nil"/>
              <w:bottom w:val="double" w:sz="6" w:space="0" w:color="auto"/>
              <w:right w:val="single" w:sz="4" w:space="0" w:color="auto"/>
            </w:tcBorders>
            <w:shd w:val="clear" w:color="auto" w:fill="D3E5F6" w:themeFill="accent3" w:themeFillTint="33"/>
            <w:vAlign w:val="center"/>
            <w:hideMark/>
          </w:tcPr>
          <w:p w14:paraId="10DE6B09" w14:textId="77777777" w:rsidR="00B3255D" w:rsidRPr="00CB0716" w:rsidRDefault="00B3255D" w:rsidP="00E26A16">
            <w:pPr>
              <w:jc w:val="center"/>
              <w:rPr>
                <w:rFonts w:cs="Arial"/>
                <w:b/>
                <w:bCs/>
                <w:sz w:val="20"/>
                <w:szCs w:val="20"/>
              </w:rPr>
            </w:pPr>
            <w:r w:rsidRPr="00CB0716">
              <w:rPr>
                <w:rFonts w:cs="Arial"/>
                <w:b/>
                <w:bCs/>
                <w:sz w:val="20"/>
                <w:szCs w:val="20"/>
              </w:rPr>
              <w:t>Current</w:t>
            </w:r>
          </w:p>
        </w:tc>
        <w:tc>
          <w:tcPr>
            <w:tcW w:w="1307" w:type="dxa"/>
            <w:tcBorders>
              <w:top w:val="nil"/>
              <w:left w:val="nil"/>
              <w:bottom w:val="double" w:sz="6" w:space="0" w:color="auto"/>
              <w:right w:val="single" w:sz="4" w:space="0" w:color="auto"/>
            </w:tcBorders>
            <w:shd w:val="clear" w:color="auto" w:fill="D3E5F6" w:themeFill="accent3" w:themeFillTint="33"/>
            <w:vAlign w:val="center"/>
            <w:hideMark/>
          </w:tcPr>
          <w:p w14:paraId="3FBCFD22" w14:textId="77777777" w:rsidR="00B3255D" w:rsidRPr="00CB0716" w:rsidRDefault="00B3255D" w:rsidP="00E26A16">
            <w:pPr>
              <w:jc w:val="center"/>
              <w:rPr>
                <w:rFonts w:cs="Arial"/>
                <w:b/>
                <w:bCs/>
                <w:sz w:val="20"/>
                <w:szCs w:val="20"/>
              </w:rPr>
            </w:pPr>
            <w:r w:rsidRPr="00CB0716">
              <w:rPr>
                <w:rFonts w:cs="Arial"/>
                <w:b/>
                <w:bCs/>
                <w:sz w:val="20"/>
                <w:szCs w:val="20"/>
              </w:rPr>
              <w:t>Proposed</w:t>
            </w:r>
          </w:p>
        </w:tc>
        <w:tc>
          <w:tcPr>
            <w:tcW w:w="1244" w:type="dxa"/>
            <w:tcBorders>
              <w:top w:val="nil"/>
              <w:left w:val="nil"/>
              <w:bottom w:val="double" w:sz="6" w:space="0" w:color="auto"/>
              <w:right w:val="double" w:sz="4" w:space="0" w:color="auto"/>
            </w:tcBorders>
            <w:shd w:val="clear" w:color="auto" w:fill="D3E5F6" w:themeFill="accent3" w:themeFillTint="33"/>
            <w:vAlign w:val="center"/>
            <w:hideMark/>
          </w:tcPr>
          <w:p w14:paraId="5047C90F" w14:textId="77777777" w:rsidR="00B3255D" w:rsidRPr="00CB0716" w:rsidRDefault="00B3255D" w:rsidP="00E26A16">
            <w:pPr>
              <w:jc w:val="center"/>
              <w:rPr>
                <w:rFonts w:cs="Arial"/>
                <w:b/>
                <w:bCs/>
                <w:sz w:val="20"/>
                <w:szCs w:val="20"/>
              </w:rPr>
            </w:pPr>
            <w:r w:rsidRPr="00CB0716">
              <w:rPr>
                <w:rFonts w:cs="Arial"/>
                <w:b/>
                <w:bCs/>
                <w:sz w:val="20"/>
                <w:szCs w:val="20"/>
              </w:rPr>
              <w:t>Variance</w:t>
            </w:r>
          </w:p>
        </w:tc>
      </w:tr>
      <w:bookmarkEnd w:id="0"/>
      <w:tr w:rsidR="00B3255D" w:rsidRPr="00CB0716" w14:paraId="1FC8A768"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hideMark/>
          </w:tcPr>
          <w:p w14:paraId="2B11B9CF" w14:textId="77777777" w:rsidR="00B3255D" w:rsidRPr="00CB0716" w:rsidRDefault="00B3255D" w:rsidP="00E26A16">
            <w:pPr>
              <w:jc w:val="center"/>
              <w:rPr>
                <w:rFonts w:cs="Arial"/>
                <w:sz w:val="20"/>
                <w:szCs w:val="20"/>
              </w:rPr>
            </w:pPr>
            <w:r w:rsidRPr="00CB0716">
              <w:rPr>
                <w:rFonts w:cs="Arial"/>
                <w:sz w:val="20"/>
                <w:szCs w:val="20"/>
              </w:rPr>
              <w:t>1.01</w:t>
            </w:r>
          </w:p>
        </w:tc>
        <w:tc>
          <w:tcPr>
            <w:tcW w:w="4480" w:type="dxa"/>
            <w:tcBorders>
              <w:top w:val="nil"/>
              <w:left w:val="nil"/>
              <w:bottom w:val="single" w:sz="4" w:space="0" w:color="auto"/>
              <w:right w:val="single" w:sz="4" w:space="0" w:color="auto"/>
            </w:tcBorders>
            <w:shd w:val="clear" w:color="auto" w:fill="auto"/>
            <w:vAlign w:val="center"/>
            <w:hideMark/>
          </w:tcPr>
          <w:p w14:paraId="6211FA90" w14:textId="77777777" w:rsidR="00B3255D" w:rsidRPr="00CB0716" w:rsidRDefault="00B3255D" w:rsidP="00E26A16">
            <w:pPr>
              <w:rPr>
                <w:rFonts w:cs="Arial"/>
                <w:sz w:val="20"/>
                <w:szCs w:val="20"/>
              </w:rPr>
            </w:pPr>
            <w:r w:rsidRPr="00CB0716">
              <w:rPr>
                <w:rFonts w:cs="Arial"/>
                <w:sz w:val="20"/>
                <w:szCs w:val="20"/>
              </w:rPr>
              <w:t>Community Outreach</w:t>
            </w:r>
          </w:p>
        </w:tc>
        <w:tc>
          <w:tcPr>
            <w:tcW w:w="1329" w:type="dxa"/>
            <w:tcBorders>
              <w:top w:val="nil"/>
              <w:left w:val="nil"/>
              <w:bottom w:val="single" w:sz="4" w:space="0" w:color="auto"/>
              <w:right w:val="single" w:sz="4" w:space="0" w:color="auto"/>
            </w:tcBorders>
            <w:shd w:val="clear" w:color="auto" w:fill="auto"/>
            <w:noWrap/>
            <w:vAlign w:val="center"/>
          </w:tcPr>
          <w:p w14:paraId="66C64146" w14:textId="7D235C05" w:rsidR="00B3255D" w:rsidRPr="00CB0716" w:rsidRDefault="00B3255D" w:rsidP="00E26A16">
            <w:pPr>
              <w:jc w:val="right"/>
              <w:rPr>
                <w:rFonts w:cs="Arial"/>
                <w:sz w:val="20"/>
                <w:szCs w:val="20"/>
              </w:rPr>
            </w:pPr>
            <w:r w:rsidRPr="00CB0716">
              <w:rPr>
                <w:rFonts w:cs="Arial"/>
                <w:sz w:val="20"/>
                <w:szCs w:val="20"/>
              </w:rPr>
              <w:t>$</w:t>
            </w:r>
            <w:r w:rsidR="00522EAC">
              <w:rPr>
                <w:rFonts w:cs="Arial"/>
                <w:sz w:val="20"/>
                <w:szCs w:val="20"/>
              </w:rPr>
              <w:t>2,780,000</w:t>
            </w:r>
          </w:p>
        </w:tc>
        <w:tc>
          <w:tcPr>
            <w:tcW w:w="1307" w:type="dxa"/>
            <w:tcBorders>
              <w:top w:val="nil"/>
              <w:left w:val="nil"/>
              <w:bottom w:val="single" w:sz="4" w:space="0" w:color="auto"/>
              <w:right w:val="single" w:sz="4" w:space="0" w:color="auto"/>
            </w:tcBorders>
            <w:shd w:val="clear" w:color="auto" w:fill="auto"/>
            <w:noWrap/>
            <w:vAlign w:val="center"/>
          </w:tcPr>
          <w:p w14:paraId="5EC307E6" w14:textId="55E79380" w:rsidR="00B3255D" w:rsidRPr="008812B9" w:rsidRDefault="00B3255D" w:rsidP="00E26A16">
            <w:pPr>
              <w:jc w:val="right"/>
              <w:rPr>
                <w:rFonts w:cs="Arial"/>
                <w:sz w:val="20"/>
                <w:szCs w:val="20"/>
              </w:rPr>
            </w:pPr>
            <w:r w:rsidRPr="008812B9">
              <w:rPr>
                <w:rFonts w:cs="Arial"/>
                <w:sz w:val="20"/>
                <w:szCs w:val="20"/>
              </w:rPr>
              <w:t>$</w:t>
            </w:r>
            <w:r w:rsidR="00522EAC">
              <w:rPr>
                <w:rFonts w:cs="Arial"/>
                <w:sz w:val="20"/>
                <w:szCs w:val="20"/>
              </w:rPr>
              <w:t>2,997,000</w:t>
            </w:r>
          </w:p>
        </w:tc>
        <w:tc>
          <w:tcPr>
            <w:tcW w:w="1244" w:type="dxa"/>
            <w:tcBorders>
              <w:top w:val="nil"/>
              <w:left w:val="nil"/>
              <w:bottom w:val="single" w:sz="4" w:space="0" w:color="auto"/>
              <w:right w:val="double" w:sz="4" w:space="0" w:color="auto"/>
            </w:tcBorders>
            <w:shd w:val="clear" w:color="auto" w:fill="auto"/>
            <w:noWrap/>
            <w:vAlign w:val="center"/>
          </w:tcPr>
          <w:p w14:paraId="7B12EADA" w14:textId="7854210C" w:rsidR="00B3255D" w:rsidRPr="008812B9" w:rsidRDefault="00B3255D" w:rsidP="00E26A16">
            <w:pPr>
              <w:jc w:val="right"/>
              <w:rPr>
                <w:rFonts w:cs="Arial"/>
                <w:sz w:val="20"/>
                <w:szCs w:val="20"/>
              </w:rPr>
            </w:pPr>
            <w:r w:rsidRPr="008812B9">
              <w:rPr>
                <w:rFonts w:cs="Arial"/>
                <w:sz w:val="20"/>
                <w:szCs w:val="20"/>
              </w:rPr>
              <w:t>$</w:t>
            </w:r>
            <w:r w:rsidR="00522EAC">
              <w:rPr>
                <w:rFonts w:cs="Arial"/>
                <w:sz w:val="20"/>
                <w:szCs w:val="20"/>
              </w:rPr>
              <w:t>217,000</w:t>
            </w:r>
          </w:p>
        </w:tc>
      </w:tr>
      <w:tr w:rsidR="00B3255D" w:rsidRPr="00CB0716" w14:paraId="09CFAE2A"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hideMark/>
          </w:tcPr>
          <w:p w14:paraId="6FCAFE25" w14:textId="77777777" w:rsidR="00B3255D" w:rsidRPr="00CB0716" w:rsidRDefault="00B3255D" w:rsidP="00E26A16">
            <w:pPr>
              <w:jc w:val="center"/>
              <w:rPr>
                <w:rFonts w:cs="Arial"/>
                <w:sz w:val="20"/>
                <w:szCs w:val="20"/>
              </w:rPr>
            </w:pPr>
            <w:r w:rsidRPr="00CB0716">
              <w:rPr>
                <w:rFonts w:cs="Arial"/>
                <w:sz w:val="20"/>
                <w:szCs w:val="20"/>
              </w:rPr>
              <w:t>1.02</w:t>
            </w:r>
          </w:p>
        </w:tc>
        <w:tc>
          <w:tcPr>
            <w:tcW w:w="4480" w:type="dxa"/>
            <w:tcBorders>
              <w:top w:val="nil"/>
              <w:left w:val="nil"/>
              <w:bottom w:val="single" w:sz="4" w:space="0" w:color="auto"/>
              <w:right w:val="single" w:sz="4" w:space="0" w:color="auto"/>
            </w:tcBorders>
            <w:shd w:val="clear" w:color="auto" w:fill="auto"/>
            <w:vAlign w:val="center"/>
            <w:hideMark/>
          </w:tcPr>
          <w:p w14:paraId="5984C893" w14:textId="77777777" w:rsidR="00B3255D" w:rsidRPr="00CB0716" w:rsidRDefault="00B3255D" w:rsidP="00E26A16">
            <w:pPr>
              <w:rPr>
                <w:rFonts w:cs="Arial"/>
                <w:sz w:val="20"/>
                <w:szCs w:val="20"/>
              </w:rPr>
            </w:pPr>
            <w:r w:rsidRPr="00CB0716">
              <w:rPr>
                <w:rFonts w:cs="Arial"/>
                <w:sz w:val="20"/>
                <w:szCs w:val="20"/>
              </w:rPr>
              <w:t>Program and Policy Administration</w:t>
            </w:r>
          </w:p>
        </w:tc>
        <w:tc>
          <w:tcPr>
            <w:tcW w:w="1329" w:type="dxa"/>
            <w:tcBorders>
              <w:top w:val="nil"/>
              <w:left w:val="nil"/>
              <w:bottom w:val="single" w:sz="4" w:space="0" w:color="auto"/>
              <w:right w:val="single" w:sz="4" w:space="0" w:color="auto"/>
            </w:tcBorders>
            <w:shd w:val="clear" w:color="auto" w:fill="auto"/>
            <w:noWrap/>
            <w:vAlign w:val="center"/>
          </w:tcPr>
          <w:p w14:paraId="560FA869" w14:textId="26369982" w:rsidR="00B3255D" w:rsidRPr="00CB0716" w:rsidRDefault="00B3255D" w:rsidP="00E26A16">
            <w:pPr>
              <w:jc w:val="right"/>
              <w:rPr>
                <w:rFonts w:cs="Arial"/>
                <w:sz w:val="20"/>
                <w:szCs w:val="20"/>
              </w:rPr>
            </w:pPr>
            <w:r w:rsidRPr="00CB0716">
              <w:rPr>
                <w:rFonts w:cs="Arial"/>
                <w:sz w:val="20"/>
                <w:szCs w:val="20"/>
              </w:rPr>
              <w:t>$</w:t>
            </w:r>
            <w:r w:rsidR="00522EAC">
              <w:rPr>
                <w:rFonts w:cs="Arial"/>
                <w:sz w:val="20"/>
                <w:szCs w:val="20"/>
              </w:rPr>
              <w:t>201,000</w:t>
            </w:r>
          </w:p>
        </w:tc>
        <w:tc>
          <w:tcPr>
            <w:tcW w:w="1307" w:type="dxa"/>
            <w:tcBorders>
              <w:top w:val="nil"/>
              <w:left w:val="nil"/>
              <w:bottom w:val="single" w:sz="4" w:space="0" w:color="auto"/>
              <w:right w:val="single" w:sz="4" w:space="0" w:color="auto"/>
            </w:tcBorders>
            <w:shd w:val="clear" w:color="auto" w:fill="auto"/>
            <w:noWrap/>
            <w:vAlign w:val="center"/>
          </w:tcPr>
          <w:p w14:paraId="31BCAB66" w14:textId="001B3C51" w:rsidR="00B3255D" w:rsidRPr="008812B9" w:rsidRDefault="00B3255D" w:rsidP="00E26A16">
            <w:pPr>
              <w:jc w:val="right"/>
              <w:rPr>
                <w:rFonts w:cs="Arial"/>
                <w:sz w:val="20"/>
                <w:szCs w:val="20"/>
              </w:rPr>
            </w:pPr>
            <w:r w:rsidRPr="008812B9">
              <w:rPr>
                <w:rFonts w:cs="Arial"/>
                <w:sz w:val="20"/>
                <w:szCs w:val="20"/>
              </w:rPr>
              <w:t>$</w:t>
            </w:r>
            <w:r w:rsidR="00522EAC">
              <w:rPr>
                <w:rFonts w:cs="Arial"/>
                <w:sz w:val="20"/>
                <w:szCs w:val="20"/>
              </w:rPr>
              <w:t>249,000</w:t>
            </w:r>
          </w:p>
        </w:tc>
        <w:tc>
          <w:tcPr>
            <w:tcW w:w="1244" w:type="dxa"/>
            <w:tcBorders>
              <w:top w:val="nil"/>
              <w:left w:val="nil"/>
              <w:bottom w:val="single" w:sz="4" w:space="0" w:color="auto"/>
              <w:right w:val="double" w:sz="4" w:space="0" w:color="auto"/>
            </w:tcBorders>
            <w:shd w:val="clear" w:color="auto" w:fill="auto"/>
            <w:noWrap/>
            <w:vAlign w:val="center"/>
          </w:tcPr>
          <w:p w14:paraId="2E082712" w14:textId="407075D3" w:rsidR="00B3255D" w:rsidRPr="008812B9" w:rsidRDefault="00B3255D" w:rsidP="00E26A16">
            <w:pPr>
              <w:jc w:val="right"/>
              <w:rPr>
                <w:rFonts w:cs="Arial"/>
                <w:sz w:val="20"/>
                <w:szCs w:val="20"/>
              </w:rPr>
            </w:pPr>
            <w:r w:rsidRPr="008812B9">
              <w:rPr>
                <w:rFonts w:cs="Arial"/>
                <w:sz w:val="20"/>
                <w:szCs w:val="20"/>
              </w:rPr>
              <w:t>$48</w:t>
            </w:r>
            <w:r w:rsidR="009615E5">
              <w:rPr>
                <w:rFonts w:cs="Arial"/>
                <w:sz w:val="20"/>
                <w:szCs w:val="20"/>
              </w:rPr>
              <w:t>,</w:t>
            </w:r>
            <w:r w:rsidR="00522EAC">
              <w:rPr>
                <w:rFonts w:cs="Arial"/>
                <w:sz w:val="20"/>
                <w:szCs w:val="20"/>
              </w:rPr>
              <w:t>00</w:t>
            </w:r>
            <w:r w:rsidRPr="008812B9">
              <w:rPr>
                <w:rFonts w:cs="Arial"/>
                <w:sz w:val="20"/>
                <w:szCs w:val="20"/>
              </w:rPr>
              <w:t>0</w:t>
            </w:r>
          </w:p>
        </w:tc>
      </w:tr>
      <w:tr w:rsidR="00B3255D" w:rsidRPr="00CB0716" w14:paraId="5B200E20"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7F5945D0" w14:textId="77777777" w:rsidR="00B3255D" w:rsidRPr="00CB0716" w:rsidRDefault="00B3255D" w:rsidP="00E26A16">
            <w:pPr>
              <w:jc w:val="center"/>
              <w:rPr>
                <w:rFonts w:cs="Arial"/>
                <w:sz w:val="20"/>
                <w:szCs w:val="20"/>
              </w:rPr>
            </w:pPr>
            <w:r w:rsidRPr="00CB0716">
              <w:rPr>
                <w:rFonts w:cs="Arial"/>
                <w:sz w:val="20"/>
                <w:szCs w:val="20"/>
              </w:rPr>
              <w:t>1.03</w:t>
            </w:r>
          </w:p>
        </w:tc>
        <w:tc>
          <w:tcPr>
            <w:tcW w:w="4480" w:type="dxa"/>
            <w:tcBorders>
              <w:top w:val="nil"/>
              <w:left w:val="nil"/>
              <w:bottom w:val="single" w:sz="4" w:space="0" w:color="auto"/>
              <w:right w:val="single" w:sz="4" w:space="0" w:color="auto"/>
            </w:tcBorders>
            <w:shd w:val="clear" w:color="auto" w:fill="auto"/>
            <w:vAlign w:val="center"/>
          </w:tcPr>
          <w:p w14:paraId="1ED8447C" w14:textId="333E36C0" w:rsidR="00B3255D" w:rsidRPr="00CB0716" w:rsidRDefault="00B3255D" w:rsidP="00E26A16">
            <w:pPr>
              <w:rPr>
                <w:rFonts w:cs="Arial"/>
                <w:sz w:val="20"/>
                <w:szCs w:val="20"/>
              </w:rPr>
            </w:pPr>
            <w:r w:rsidRPr="00CB0716">
              <w:rPr>
                <w:rFonts w:cs="Arial"/>
                <w:sz w:val="20"/>
                <w:szCs w:val="20"/>
              </w:rPr>
              <w:t xml:space="preserve">Fiscal Management </w:t>
            </w:r>
          </w:p>
        </w:tc>
        <w:tc>
          <w:tcPr>
            <w:tcW w:w="1329" w:type="dxa"/>
            <w:tcBorders>
              <w:top w:val="nil"/>
              <w:left w:val="nil"/>
              <w:bottom w:val="single" w:sz="4" w:space="0" w:color="auto"/>
              <w:right w:val="single" w:sz="4" w:space="0" w:color="auto"/>
            </w:tcBorders>
            <w:shd w:val="clear" w:color="auto" w:fill="auto"/>
            <w:noWrap/>
            <w:vAlign w:val="center"/>
          </w:tcPr>
          <w:p w14:paraId="69C80FB4" w14:textId="77777777" w:rsidR="00B3255D" w:rsidRPr="00CB0716" w:rsidRDefault="00B3255D" w:rsidP="00E26A16">
            <w:pPr>
              <w:jc w:val="right"/>
              <w:rPr>
                <w:rFonts w:cs="Arial"/>
                <w:sz w:val="20"/>
                <w:szCs w:val="20"/>
              </w:rPr>
            </w:pPr>
            <w:r w:rsidRPr="00CB0716">
              <w:rPr>
                <w:rFonts w:cs="Arial"/>
                <w:sz w:val="20"/>
                <w:szCs w:val="20"/>
              </w:rPr>
              <w:t>$0</w:t>
            </w:r>
          </w:p>
        </w:tc>
        <w:tc>
          <w:tcPr>
            <w:tcW w:w="1307" w:type="dxa"/>
            <w:tcBorders>
              <w:top w:val="nil"/>
              <w:left w:val="nil"/>
              <w:bottom w:val="single" w:sz="4" w:space="0" w:color="auto"/>
              <w:right w:val="single" w:sz="4" w:space="0" w:color="auto"/>
            </w:tcBorders>
            <w:shd w:val="clear" w:color="auto" w:fill="auto"/>
            <w:noWrap/>
            <w:vAlign w:val="center"/>
          </w:tcPr>
          <w:p w14:paraId="3B0F513F" w14:textId="77777777" w:rsidR="00B3255D" w:rsidRPr="008812B9" w:rsidRDefault="00B3255D" w:rsidP="00E26A16">
            <w:pPr>
              <w:jc w:val="right"/>
              <w:rPr>
                <w:rFonts w:cs="Arial"/>
                <w:sz w:val="20"/>
                <w:szCs w:val="20"/>
              </w:rPr>
            </w:pPr>
            <w:r w:rsidRPr="008812B9">
              <w:rPr>
                <w:rFonts w:cs="Arial"/>
                <w:sz w:val="20"/>
                <w:szCs w:val="20"/>
              </w:rPr>
              <w:t>$0</w:t>
            </w:r>
          </w:p>
        </w:tc>
        <w:tc>
          <w:tcPr>
            <w:tcW w:w="1244" w:type="dxa"/>
            <w:tcBorders>
              <w:top w:val="nil"/>
              <w:left w:val="nil"/>
              <w:bottom w:val="single" w:sz="4" w:space="0" w:color="auto"/>
              <w:right w:val="double" w:sz="4" w:space="0" w:color="auto"/>
            </w:tcBorders>
            <w:shd w:val="clear" w:color="auto" w:fill="auto"/>
            <w:noWrap/>
            <w:vAlign w:val="center"/>
          </w:tcPr>
          <w:p w14:paraId="55ACA418" w14:textId="77777777" w:rsidR="00B3255D" w:rsidRPr="008812B9" w:rsidRDefault="00B3255D" w:rsidP="00E26A16">
            <w:pPr>
              <w:jc w:val="right"/>
              <w:rPr>
                <w:rFonts w:cs="Arial"/>
                <w:sz w:val="20"/>
                <w:szCs w:val="20"/>
              </w:rPr>
            </w:pPr>
            <w:r w:rsidRPr="008812B9">
              <w:rPr>
                <w:rFonts w:cs="Arial"/>
                <w:sz w:val="20"/>
                <w:szCs w:val="20"/>
              </w:rPr>
              <w:t>$0</w:t>
            </w:r>
          </w:p>
        </w:tc>
      </w:tr>
      <w:tr w:rsidR="00B3255D" w:rsidRPr="00CB0716" w14:paraId="095B4C38"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77CAC08E" w14:textId="77777777" w:rsidR="00B3255D" w:rsidRPr="00CB0716" w:rsidRDefault="00B3255D" w:rsidP="00E26A16">
            <w:pPr>
              <w:jc w:val="center"/>
              <w:rPr>
                <w:rFonts w:cs="Arial"/>
                <w:sz w:val="20"/>
                <w:szCs w:val="20"/>
              </w:rPr>
            </w:pPr>
            <w:r w:rsidRPr="00CB0716">
              <w:rPr>
                <w:rFonts w:cs="Arial"/>
                <w:sz w:val="20"/>
                <w:szCs w:val="20"/>
              </w:rPr>
              <w:t>1.04</w:t>
            </w:r>
          </w:p>
        </w:tc>
        <w:tc>
          <w:tcPr>
            <w:tcW w:w="4480" w:type="dxa"/>
            <w:tcBorders>
              <w:top w:val="nil"/>
              <w:left w:val="nil"/>
              <w:bottom w:val="single" w:sz="4" w:space="0" w:color="auto"/>
              <w:right w:val="single" w:sz="4" w:space="0" w:color="auto"/>
            </w:tcBorders>
            <w:shd w:val="clear" w:color="auto" w:fill="auto"/>
            <w:vAlign w:val="center"/>
          </w:tcPr>
          <w:p w14:paraId="384A0D1C" w14:textId="566D1EAA" w:rsidR="00B3255D" w:rsidRPr="00CB0716" w:rsidRDefault="00B3255D" w:rsidP="00E26A16">
            <w:pPr>
              <w:rPr>
                <w:rFonts w:cs="Arial"/>
                <w:sz w:val="20"/>
                <w:szCs w:val="20"/>
              </w:rPr>
            </w:pPr>
            <w:r w:rsidRPr="00CB0716">
              <w:rPr>
                <w:rFonts w:cs="Arial"/>
                <w:sz w:val="20"/>
                <w:szCs w:val="20"/>
              </w:rPr>
              <w:t xml:space="preserve">Computer </w:t>
            </w:r>
            <w:r w:rsidR="00522EAC">
              <w:rPr>
                <w:rFonts w:cs="Arial"/>
                <w:sz w:val="20"/>
                <w:szCs w:val="20"/>
              </w:rPr>
              <w:t>and Audio/Video Resources</w:t>
            </w:r>
          </w:p>
        </w:tc>
        <w:tc>
          <w:tcPr>
            <w:tcW w:w="1329" w:type="dxa"/>
            <w:tcBorders>
              <w:top w:val="nil"/>
              <w:left w:val="nil"/>
              <w:bottom w:val="single" w:sz="4" w:space="0" w:color="auto"/>
              <w:right w:val="single" w:sz="4" w:space="0" w:color="auto"/>
            </w:tcBorders>
            <w:shd w:val="clear" w:color="auto" w:fill="auto"/>
            <w:noWrap/>
            <w:vAlign w:val="center"/>
          </w:tcPr>
          <w:p w14:paraId="0BE5B907" w14:textId="2695E869" w:rsidR="00B3255D" w:rsidRPr="00CB0716" w:rsidRDefault="00B3255D" w:rsidP="00E26A16">
            <w:pPr>
              <w:jc w:val="right"/>
              <w:rPr>
                <w:rFonts w:cs="Arial"/>
                <w:sz w:val="20"/>
                <w:szCs w:val="20"/>
              </w:rPr>
            </w:pPr>
            <w:r w:rsidRPr="00CB0716">
              <w:rPr>
                <w:rFonts w:cs="Arial"/>
                <w:sz w:val="20"/>
                <w:szCs w:val="20"/>
              </w:rPr>
              <w:t>$</w:t>
            </w:r>
            <w:r w:rsidR="00522EAC">
              <w:rPr>
                <w:rFonts w:cs="Arial"/>
                <w:sz w:val="20"/>
                <w:szCs w:val="20"/>
              </w:rPr>
              <w:t>162,000</w:t>
            </w:r>
          </w:p>
        </w:tc>
        <w:tc>
          <w:tcPr>
            <w:tcW w:w="1307" w:type="dxa"/>
            <w:tcBorders>
              <w:top w:val="nil"/>
              <w:left w:val="nil"/>
              <w:bottom w:val="single" w:sz="4" w:space="0" w:color="auto"/>
              <w:right w:val="single" w:sz="4" w:space="0" w:color="auto"/>
            </w:tcBorders>
            <w:shd w:val="clear" w:color="auto" w:fill="auto"/>
            <w:noWrap/>
            <w:vAlign w:val="center"/>
          </w:tcPr>
          <w:p w14:paraId="06F7EA75" w14:textId="725DC02A" w:rsidR="00B3255D" w:rsidRPr="008812B9" w:rsidRDefault="00B3255D" w:rsidP="00E26A16">
            <w:pPr>
              <w:jc w:val="right"/>
              <w:rPr>
                <w:rFonts w:cs="Arial"/>
                <w:sz w:val="20"/>
                <w:szCs w:val="20"/>
              </w:rPr>
            </w:pPr>
            <w:r w:rsidRPr="008812B9">
              <w:rPr>
                <w:rFonts w:cs="Arial"/>
                <w:sz w:val="20"/>
                <w:szCs w:val="20"/>
              </w:rPr>
              <w:t>$</w:t>
            </w:r>
            <w:r w:rsidR="00522EAC">
              <w:rPr>
                <w:rFonts w:cs="Arial"/>
                <w:sz w:val="20"/>
                <w:szCs w:val="20"/>
              </w:rPr>
              <w:t>162,000</w:t>
            </w:r>
          </w:p>
        </w:tc>
        <w:tc>
          <w:tcPr>
            <w:tcW w:w="1244" w:type="dxa"/>
            <w:tcBorders>
              <w:top w:val="nil"/>
              <w:left w:val="nil"/>
              <w:bottom w:val="single" w:sz="4" w:space="0" w:color="auto"/>
              <w:right w:val="double" w:sz="4" w:space="0" w:color="auto"/>
            </w:tcBorders>
            <w:shd w:val="clear" w:color="auto" w:fill="auto"/>
            <w:noWrap/>
            <w:vAlign w:val="center"/>
          </w:tcPr>
          <w:p w14:paraId="6FEA44B8" w14:textId="0FB14162" w:rsidR="00B3255D" w:rsidRPr="008812B9" w:rsidRDefault="00B3255D" w:rsidP="00E26A16">
            <w:pPr>
              <w:jc w:val="right"/>
              <w:rPr>
                <w:rFonts w:cs="Arial"/>
                <w:sz w:val="20"/>
                <w:szCs w:val="20"/>
              </w:rPr>
            </w:pPr>
            <w:r w:rsidRPr="008812B9">
              <w:rPr>
                <w:rFonts w:cs="Arial"/>
                <w:sz w:val="20"/>
                <w:szCs w:val="20"/>
              </w:rPr>
              <w:t>$0</w:t>
            </w:r>
          </w:p>
        </w:tc>
      </w:tr>
      <w:tr w:rsidR="00B3255D" w:rsidRPr="00CB0716" w14:paraId="654A8313"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000000" w:fill="F2F2F2"/>
            <w:noWrap/>
            <w:vAlign w:val="center"/>
            <w:hideMark/>
          </w:tcPr>
          <w:p w14:paraId="0E87C01C" w14:textId="77777777" w:rsidR="00B3255D" w:rsidRPr="00CB0716" w:rsidRDefault="00B3255D" w:rsidP="00E26A16">
            <w:pPr>
              <w:jc w:val="center"/>
              <w:rPr>
                <w:rFonts w:cs="Arial"/>
                <w:sz w:val="20"/>
                <w:szCs w:val="20"/>
              </w:rPr>
            </w:pPr>
          </w:p>
        </w:tc>
        <w:tc>
          <w:tcPr>
            <w:tcW w:w="4480" w:type="dxa"/>
            <w:tcBorders>
              <w:top w:val="nil"/>
              <w:left w:val="nil"/>
              <w:bottom w:val="single" w:sz="4" w:space="0" w:color="auto"/>
              <w:right w:val="single" w:sz="4" w:space="0" w:color="auto"/>
            </w:tcBorders>
            <w:shd w:val="clear" w:color="000000" w:fill="F2F2F2"/>
            <w:noWrap/>
            <w:vAlign w:val="center"/>
            <w:hideMark/>
          </w:tcPr>
          <w:p w14:paraId="08E1BBC1" w14:textId="77777777" w:rsidR="00B3255D" w:rsidRPr="00CB0716" w:rsidRDefault="00B3255D" w:rsidP="00E26A16">
            <w:pPr>
              <w:rPr>
                <w:rFonts w:cs="Arial"/>
                <w:b/>
                <w:bCs/>
                <w:sz w:val="20"/>
                <w:szCs w:val="20"/>
              </w:rPr>
            </w:pPr>
            <w:r w:rsidRPr="00CB0716">
              <w:rPr>
                <w:rFonts w:cs="Arial"/>
                <w:b/>
                <w:bCs/>
                <w:sz w:val="20"/>
                <w:szCs w:val="20"/>
              </w:rPr>
              <w:t>Subtask 1 - Administration and Management</w:t>
            </w:r>
          </w:p>
        </w:tc>
        <w:tc>
          <w:tcPr>
            <w:tcW w:w="1329" w:type="dxa"/>
            <w:tcBorders>
              <w:top w:val="nil"/>
              <w:left w:val="nil"/>
              <w:bottom w:val="single" w:sz="4" w:space="0" w:color="auto"/>
              <w:right w:val="single" w:sz="4" w:space="0" w:color="auto"/>
            </w:tcBorders>
            <w:shd w:val="clear" w:color="000000" w:fill="F2F2F2"/>
            <w:noWrap/>
            <w:vAlign w:val="center"/>
          </w:tcPr>
          <w:p w14:paraId="56EC9CD3" w14:textId="49D8D72A" w:rsidR="00B3255D" w:rsidRPr="00CB0716" w:rsidRDefault="00B3255D" w:rsidP="00E26A16">
            <w:pPr>
              <w:jc w:val="right"/>
              <w:rPr>
                <w:rFonts w:cs="Arial"/>
                <w:b/>
                <w:bCs/>
                <w:sz w:val="20"/>
                <w:szCs w:val="20"/>
              </w:rPr>
            </w:pPr>
            <w:r w:rsidRPr="00CB0716">
              <w:rPr>
                <w:rFonts w:cs="Arial"/>
                <w:b/>
                <w:bCs/>
                <w:sz w:val="20"/>
                <w:szCs w:val="20"/>
              </w:rPr>
              <w:t>$</w:t>
            </w:r>
            <w:r w:rsidR="00522EAC">
              <w:rPr>
                <w:rFonts w:cs="Arial"/>
                <w:b/>
                <w:bCs/>
                <w:sz w:val="20"/>
                <w:szCs w:val="20"/>
              </w:rPr>
              <w:t>3,143,000</w:t>
            </w:r>
          </w:p>
        </w:tc>
        <w:tc>
          <w:tcPr>
            <w:tcW w:w="1307" w:type="dxa"/>
            <w:tcBorders>
              <w:top w:val="nil"/>
              <w:left w:val="nil"/>
              <w:bottom w:val="single" w:sz="4" w:space="0" w:color="auto"/>
              <w:right w:val="single" w:sz="4" w:space="0" w:color="auto"/>
            </w:tcBorders>
            <w:shd w:val="clear" w:color="000000" w:fill="F2F2F2"/>
            <w:noWrap/>
            <w:vAlign w:val="center"/>
          </w:tcPr>
          <w:p w14:paraId="4E492FF4" w14:textId="637DABE7" w:rsidR="00B3255D" w:rsidRPr="008812B9" w:rsidRDefault="00B3255D" w:rsidP="00E26A16">
            <w:pPr>
              <w:jc w:val="right"/>
              <w:rPr>
                <w:rFonts w:cs="Arial"/>
                <w:b/>
                <w:bCs/>
                <w:sz w:val="20"/>
                <w:szCs w:val="20"/>
              </w:rPr>
            </w:pPr>
            <w:r w:rsidRPr="008812B9">
              <w:rPr>
                <w:rFonts w:cs="Arial"/>
                <w:b/>
                <w:bCs/>
                <w:sz w:val="20"/>
                <w:szCs w:val="20"/>
              </w:rPr>
              <w:t>$</w:t>
            </w:r>
            <w:r w:rsidR="00DF3200">
              <w:rPr>
                <w:rFonts w:cs="Arial"/>
                <w:b/>
                <w:bCs/>
                <w:sz w:val="20"/>
                <w:szCs w:val="20"/>
              </w:rPr>
              <w:t>3,408,000</w:t>
            </w:r>
            <w:r w:rsidRPr="008812B9">
              <w:rPr>
                <w:rFonts w:cs="Arial"/>
                <w:b/>
                <w:bCs/>
                <w:sz w:val="20"/>
                <w:szCs w:val="20"/>
              </w:rPr>
              <w:t xml:space="preserve">  </w:t>
            </w:r>
          </w:p>
        </w:tc>
        <w:tc>
          <w:tcPr>
            <w:tcW w:w="1244" w:type="dxa"/>
            <w:tcBorders>
              <w:top w:val="nil"/>
              <w:left w:val="nil"/>
              <w:bottom w:val="single" w:sz="4" w:space="0" w:color="auto"/>
              <w:right w:val="double" w:sz="4" w:space="0" w:color="auto"/>
            </w:tcBorders>
            <w:shd w:val="clear" w:color="000000" w:fill="F2F2F2"/>
            <w:noWrap/>
            <w:vAlign w:val="center"/>
          </w:tcPr>
          <w:p w14:paraId="68C193A8" w14:textId="35887376" w:rsidR="00B3255D" w:rsidRPr="008812B9" w:rsidRDefault="00B3255D" w:rsidP="00E26A16">
            <w:pPr>
              <w:jc w:val="right"/>
              <w:rPr>
                <w:rFonts w:cs="Arial"/>
                <w:b/>
                <w:bCs/>
                <w:sz w:val="20"/>
                <w:szCs w:val="20"/>
              </w:rPr>
            </w:pPr>
            <w:r w:rsidRPr="008812B9">
              <w:rPr>
                <w:rFonts w:cs="Arial"/>
                <w:b/>
                <w:bCs/>
                <w:sz w:val="20"/>
                <w:szCs w:val="20"/>
              </w:rPr>
              <w:t>$</w:t>
            </w:r>
            <w:r w:rsidR="00DF3200">
              <w:rPr>
                <w:rFonts w:cs="Arial"/>
                <w:b/>
                <w:bCs/>
                <w:sz w:val="20"/>
                <w:szCs w:val="20"/>
              </w:rPr>
              <w:t>265,000</w:t>
            </w:r>
          </w:p>
        </w:tc>
      </w:tr>
      <w:tr w:rsidR="00B3255D" w:rsidRPr="00CB0716" w14:paraId="62285EBC"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6935115" w14:textId="77777777" w:rsidR="00B3255D" w:rsidRPr="00CB0716" w:rsidRDefault="00B3255D" w:rsidP="00E26A16">
            <w:pPr>
              <w:jc w:val="center"/>
              <w:rPr>
                <w:rFonts w:cs="Arial"/>
                <w:sz w:val="20"/>
                <w:szCs w:val="20"/>
              </w:rPr>
            </w:pPr>
            <w:r w:rsidRPr="00CB0716">
              <w:rPr>
                <w:rFonts w:cs="Arial"/>
                <w:sz w:val="20"/>
                <w:szCs w:val="20"/>
              </w:rPr>
              <w:t>2.01</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14:paraId="0C9A8306" w14:textId="284BA837" w:rsidR="00B3255D" w:rsidRPr="00CB0716" w:rsidRDefault="00522EAC" w:rsidP="00E26A16">
            <w:pPr>
              <w:rPr>
                <w:rFonts w:cs="Arial"/>
                <w:sz w:val="20"/>
                <w:szCs w:val="20"/>
              </w:rPr>
            </w:pPr>
            <w:r>
              <w:rPr>
                <w:rFonts w:cs="Arial"/>
                <w:sz w:val="20"/>
                <w:szCs w:val="20"/>
              </w:rPr>
              <w:t>Development of Travel Models</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1EA14257" w14:textId="417B9FAF" w:rsidR="00B3255D" w:rsidRPr="00CB0716" w:rsidRDefault="00B3255D" w:rsidP="00E26A16">
            <w:pPr>
              <w:jc w:val="right"/>
              <w:rPr>
                <w:rFonts w:cs="Arial"/>
                <w:sz w:val="20"/>
                <w:szCs w:val="20"/>
              </w:rPr>
            </w:pPr>
            <w:r w:rsidRPr="00CB0716">
              <w:rPr>
                <w:rFonts w:cs="Arial"/>
                <w:sz w:val="20"/>
                <w:szCs w:val="20"/>
              </w:rPr>
              <w:t>$</w:t>
            </w:r>
            <w:r w:rsidR="00522EAC">
              <w:rPr>
                <w:rFonts w:cs="Arial"/>
                <w:sz w:val="20"/>
                <w:szCs w:val="20"/>
              </w:rPr>
              <w:t>552,000</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2B7AD02F" w14:textId="6F5287CB" w:rsidR="00B3255D" w:rsidRPr="008812B9" w:rsidRDefault="00B3255D" w:rsidP="00E26A16">
            <w:pPr>
              <w:jc w:val="right"/>
              <w:rPr>
                <w:rFonts w:cs="Arial"/>
                <w:sz w:val="20"/>
                <w:szCs w:val="20"/>
              </w:rPr>
            </w:pPr>
            <w:r w:rsidRPr="008812B9">
              <w:rPr>
                <w:rFonts w:cs="Arial"/>
                <w:sz w:val="20"/>
                <w:szCs w:val="20"/>
              </w:rPr>
              <w:t>$</w:t>
            </w:r>
            <w:r w:rsidR="00DF3200">
              <w:rPr>
                <w:rFonts w:cs="Arial"/>
                <w:sz w:val="20"/>
                <w:szCs w:val="20"/>
              </w:rPr>
              <w:t>808,000</w:t>
            </w:r>
          </w:p>
        </w:tc>
        <w:tc>
          <w:tcPr>
            <w:tcW w:w="1244" w:type="dxa"/>
            <w:tcBorders>
              <w:top w:val="single" w:sz="4" w:space="0" w:color="auto"/>
              <w:left w:val="nil"/>
              <w:bottom w:val="single" w:sz="4" w:space="0" w:color="auto"/>
              <w:right w:val="double" w:sz="4" w:space="0" w:color="auto"/>
            </w:tcBorders>
            <w:shd w:val="clear" w:color="auto" w:fill="auto"/>
            <w:noWrap/>
            <w:vAlign w:val="center"/>
          </w:tcPr>
          <w:p w14:paraId="219166FB" w14:textId="079363B1" w:rsidR="00B3255D" w:rsidRPr="008812B9" w:rsidRDefault="00B3255D" w:rsidP="00E26A16">
            <w:pPr>
              <w:jc w:val="right"/>
              <w:rPr>
                <w:rFonts w:cs="Arial"/>
                <w:sz w:val="20"/>
                <w:szCs w:val="20"/>
              </w:rPr>
            </w:pPr>
            <w:r w:rsidRPr="008812B9">
              <w:rPr>
                <w:rFonts w:cs="Arial"/>
                <w:sz w:val="20"/>
                <w:szCs w:val="20"/>
              </w:rPr>
              <w:t>$</w:t>
            </w:r>
            <w:r w:rsidR="00DF3200">
              <w:rPr>
                <w:rFonts w:cs="Arial"/>
                <w:sz w:val="20"/>
                <w:szCs w:val="20"/>
              </w:rPr>
              <w:t>256,000</w:t>
            </w:r>
          </w:p>
        </w:tc>
      </w:tr>
      <w:tr w:rsidR="00B3255D" w:rsidRPr="00CB0716" w14:paraId="638F56E7"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1C72AF0" w14:textId="77777777" w:rsidR="00B3255D" w:rsidRPr="00CB0716" w:rsidRDefault="00B3255D" w:rsidP="00E26A16">
            <w:pPr>
              <w:jc w:val="center"/>
              <w:rPr>
                <w:rFonts w:cs="Arial"/>
                <w:sz w:val="20"/>
                <w:szCs w:val="20"/>
              </w:rPr>
            </w:pPr>
            <w:r w:rsidRPr="00CB0716">
              <w:rPr>
                <w:rFonts w:cs="Arial"/>
                <w:sz w:val="20"/>
                <w:szCs w:val="20"/>
              </w:rPr>
              <w:t>2.02</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14:paraId="10C70E76" w14:textId="375A91C5" w:rsidR="00B3255D" w:rsidRPr="00CB0716" w:rsidRDefault="00B3255D" w:rsidP="00E26A16">
            <w:pPr>
              <w:rPr>
                <w:rFonts w:cs="Arial"/>
                <w:sz w:val="20"/>
                <w:szCs w:val="20"/>
              </w:rPr>
            </w:pPr>
            <w:r w:rsidRPr="00CB0716">
              <w:rPr>
                <w:rFonts w:cs="Arial"/>
                <w:sz w:val="20"/>
                <w:szCs w:val="20"/>
              </w:rPr>
              <w:t xml:space="preserve">Transportation Data </w:t>
            </w:r>
            <w:r w:rsidR="00522EAC">
              <w:rPr>
                <w:rFonts w:cs="Arial"/>
                <w:sz w:val="20"/>
                <w:szCs w:val="20"/>
              </w:rPr>
              <w:t xml:space="preserve">Collection and </w:t>
            </w:r>
            <w:r w:rsidRPr="00CB0716">
              <w:rPr>
                <w:rFonts w:cs="Arial"/>
                <w:sz w:val="20"/>
                <w:szCs w:val="20"/>
              </w:rPr>
              <w:t>Development</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3F826D1B" w14:textId="3D451199" w:rsidR="00B3255D" w:rsidRPr="00CB0716" w:rsidRDefault="00B3255D" w:rsidP="00E26A16">
            <w:pPr>
              <w:jc w:val="right"/>
              <w:rPr>
                <w:rFonts w:cs="Arial"/>
                <w:sz w:val="20"/>
                <w:szCs w:val="20"/>
              </w:rPr>
            </w:pPr>
            <w:r w:rsidRPr="00CB0716">
              <w:rPr>
                <w:rFonts w:cs="Arial"/>
                <w:sz w:val="20"/>
                <w:szCs w:val="20"/>
              </w:rPr>
              <w:t>$</w:t>
            </w:r>
            <w:r w:rsidR="00522EAC">
              <w:rPr>
                <w:rFonts w:cs="Arial"/>
                <w:sz w:val="20"/>
                <w:szCs w:val="20"/>
              </w:rPr>
              <w:t>212,000</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09A06D0B" w14:textId="62FC3D38" w:rsidR="00B3255D" w:rsidRPr="008812B9" w:rsidRDefault="00B3255D" w:rsidP="00E26A16">
            <w:pPr>
              <w:jc w:val="right"/>
              <w:rPr>
                <w:rFonts w:cs="Arial"/>
                <w:sz w:val="20"/>
                <w:szCs w:val="20"/>
              </w:rPr>
            </w:pPr>
            <w:r w:rsidRPr="008812B9">
              <w:rPr>
                <w:rFonts w:cs="Arial"/>
                <w:sz w:val="20"/>
                <w:szCs w:val="20"/>
              </w:rPr>
              <w:t>$</w:t>
            </w:r>
            <w:r w:rsidR="00DF3200">
              <w:rPr>
                <w:rFonts w:cs="Arial"/>
                <w:sz w:val="20"/>
                <w:szCs w:val="20"/>
              </w:rPr>
              <w:t>223,000</w:t>
            </w:r>
          </w:p>
        </w:tc>
        <w:tc>
          <w:tcPr>
            <w:tcW w:w="1244" w:type="dxa"/>
            <w:tcBorders>
              <w:top w:val="single" w:sz="4" w:space="0" w:color="auto"/>
              <w:left w:val="nil"/>
              <w:bottom w:val="single" w:sz="4" w:space="0" w:color="auto"/>
              <w:right w:val="double" w:sz="4" w:space="0" w:color="auto"/>
            </w:tcBorders>
            <w:shd w:val="clear" w:color="auto" w:fill="auto"/>
            <w:noWrap/>
            <w:vAlign w:val="center"/>
          </w:tcPr>
          <w:p w14:paraId="6A83F65E" w14:textId="1C26BBA4" w:rsidR="00B3255D" w:rsidRPr="008812B9" w:rsidRDefault="00B3255D" w:rsidP="00E26A16">
            <w:pPr>
              <w:jc w:val="right"/>
              <w:rPr>
                <w:rFonts w:cs="Arial"/>
                <w:sz w:val="20"/>
                <w:szCs w:val="20"/>
              </w:rPr>
            </w:pPr>
            <w:r w:rsidRPr="008812B9">
              <w:rPr>
                <w:rFonts w:cs="Arial"/>
                <w:sz w:val="20"/>
                <w:szCs w:val="20"/>
              </w:rPr>
              <w:t>$</w:t>
            </w:r>
            <w:r w:rsidR="00DF3200">
              <w:rPr>
                <w:rFonts w:cs="Arial"/>
                <w:sz w:val="20"/>
                <w:szCs w:val="20"/>
              </w:rPr>
              <w:t>11,000</w:t>
            </w:r>
          </w:p>
        </w:tc>
      </w:tr>
      <w:tr w:rsidR="00B3255D" w:rsidRPr="00CB0716" w14:paraId="2B458856"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hideMark/>
          </w:tcPr>
          <w:p w14:paraId="0D05C532" w14:textId="77777777" w:rsidR="00B3255D" w:rsidRPr="00CB0716" w:rsidRDefault="00B3255D" w:rsidP="00E26A16">
            <w:pPr>
              <w:jc w:val="center"/>
              <w:rPr>
                <w:rFonts w:cs="Arial"/>
                <w:sz w:val="20"/>
                <w:szCs w:val="20"/>
              </w:rPr>
            </w:pPr>
            <w:r w:rsidRPr="00CB0716">
              <w:rPr>
                <w:rFonts w:cs="Arial"/>
                <w:sz w:val="20"/>
                <w:szCs w:val="20"/>
              </w:rPr>
              <w:t>2.03</w:t>
            </w:r>
          </w:p>
        </w:tc>
        <w:tc>
          <w:tcPr>
            <w:tcW w:w="4480" w:type="dxa"/>
            <w:tcBorders>
              <w:top w:val="nil"/>
              <w:left w:val="nil"/>
              <w:bottom w:val="single" w:sz="4" w:space="0" w:color="auto"/>
              <w:right w:val="single" w:sz="4" w:space="0" w:color="auto"/>
            </w:tcBorders>
            <w:shd w:val="clear" w:color="auto" w:fill="auto"/>
            <w:vAlign w:val="center"/>
            <w:hideMark/>
          </w:tcPr>
          <w:p w14:paraId="316ACA82" w14:textId="141247B6" w:rsidR="00B3255D" w:rsidRPr="00CB0716" w:rsidRDefault="00522EAC" w:rsidP="00E26A16">
            <w:pPr>
              <w:rPr>
                <w:rFonts w:cs="Arial"/>
                <w:sz w:val="20"/>
                <w:szCs w:val="20"/>
              </w:rPr>
            </w:pPr>
            <w:r>
              <w:rPr>
                <w:rFonts w:cs="Arial"/>
                <w:bCs/>
                <w:sz w:val="20"/>
                <w:szCs w:val="20"/>
              </w:rPr>
              <w:t>Model Applications</w:t>
            </w:r>
          </w:p>
        </w:tc>
        <w:tc>
          <w:tcPr>
            <w:tcW w:w="1329" w:type="dxa"/>
            <w:tcBorders>
              <w:top w:val="nil"/>
              <w:left w:val="nil"/>
              <w:bottom w:val="single" w:sz="4" w:space="0" w:color="auto"/>
              <w:right w:val="single" w:sz="4" w:space="0" w:color="auto"/>
            </w:tcBorders>
            <w:shd w:val="clear" w:color="auto" w:fill="auto"/>
            <w:noWrap/>
            <w:vAlign w:val="center"/>
          </w:tcPr>
          <w:p w14:paraId="68E7B1AB" w14:textId="60CEA6B1" w:rsidR="00B3255D" w:rsidRPr="00CB0716" w:rsidRDefault="00B3255D" w:rsidP="00E26A16">
            <w:pPr>
              <w:jc w:val="right"/>
              <w:rPr>
                <w:rFonts w:cs="Arial"/>
                <w:sz w:val="20"/>
                <w:szCs w:val="20"/>
              </w:rPr>
            </w:pPr>
            <w:r w:rsidRPr="00CB0716">
              <w:rPr>
                <w:rFonts w:cs="Arial"/>
                <w:sz w:val="20"/>
                <w:szCs w:val="20"/>
              </w:rPr>
              <w:t>$</w:t>
            </w:r>
            <w:r w:rsidR="00522EAC">
              <w:rPr>
                <w:rFonts w:cs="Arial"/>
                <w:sz w:val="20"/>
                <w:szCs w:val="20"/>
              </w:rPr>
              <w:t>600,000</w:t>
            </w:r>
          </w:p>
        </w:tc>
        <w:tc>
          <w:tcPr>
            <w:tcW w:w="1307" w:type="dxa"/>
            <w:tcBorders>
              <w:top w:val="nil"/>
              <w:left w:val="nil"/>
              <w:bottom w:val="single" w:sz="4" w:space="0" w:color="auto"/>
              <w:right w:val="single" w:sz="4" w:space="0" w:color="auto"/>
            </w:tcBorders>
            <w:shd w:val="clear" w:color="auto" w:fill="auto"/>
            <w:noWrap/>
            <w:vAlign w:val="center"/>
          </w:tcPr>
          <w:p w14:paraId="1B97E229" w14:textId="7D860AEF" w:rsidR="00B3255D" w:rsidRPr="008812B9" w:rsidRDefault="00B3255D" w:rsidP="00E26A16">
            <w:pPr>
              <w:jc w:val="right"/>
              <w:rPr>
                <w:rFonts w:cs="Arial"/>
                <w:sz w:val="20"/>
                <w:szCs w:val="20"/>
              </w:rPr>
            </w:pPr>
            <w:r w:rsidRPr="008812B9">
              <w:rPr>
                <w:rFonts w:cs="Arial"/>
                <w:sz w:val="20"/>
                <w:szCs w:val="20"/>
              </w:rPr>
              <w:t>$</w:t>
            </w:r>
            <w:r w:rsidR="00DF3200">
              <w:rPr>
                <w:rFonts w:cs="Arial"/>
                <w:sz w:val="20"/>
                <w:szCs w:val="20"/>
              </w:rPr>
              <w:t>562,000</w:t>
            </w:r>
          </w:p>
        </w:tc>
        <w:tc>
          <w:tcPr>
            <w:tcW w:w="1244" w:type="dxa"/>
            <w:tcBorders>
              <w:top w:val="nil"/>
              <w:left w:val="nil"/>
              <w:bottom w:val="single" w:sz="4" w:space="0" w:color="auto"/>
              <w:right w:val="double" w:sz="4" w:space="0" w:color="auto"/>
            </w:tcBorders>
            <w:shd w:val="clear" w:color="auto" w:fill="auto"/>
            <w:noWrap/>
            <w:vAlign w:val="center"/>
          </w:tcPr>
          <w:p w14:paraId="2CCC0E18" w14:textId="34402CE8" w:rsidR="00B3255D" w:rsidRPr="008812B9" w:rsidRDefault="00DF3200" w:rsidP="00E26A16">
            <w:pPr>
              <w:jc w:val="right"/>
              <w:rPr>
                <w:rFonts w:cs="Arial"/>
                <w:sz w:val="20"/>
                <w:szCs w:val="20"/>
              </w:rPr>
            </w:pPr>
            <w:r w:rsidRPr="00DF3200">
              <w:rPr>
                <w:rFonts w:cs="Arial"/>
                <w:color w:val="FF0000"/>
                <w:sz w:val="20"/>
                <w:szCs w:val="20"/>
              </w:rPr>
              <w:t>($38,000)</w:t>
            </w:r>
          </w:p>
        </w:tc>
      </w:tr>
      <w:tr w:rsidR="00522EAC" w:rsidRPr="00CB0716" w14:paraId="5CE6A594"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0CA10945" w14:textId="28E25CC6" w:rsidR="00522EAC" w:rsidRPr="00CB0716" w:rsidRDefault="00522EAC" w:rsidP="00E26A16">
            <w:pPr>
              <w:jc w:val="center"/>
              <w:rPr>
                <w:rFonts w:cs="Arial"/>
                <w:sz w:val="20"/>
                <w:szCs w:val="20"/>
              </w:rPr>
            </w:pPr>
            <w:r>
              <w:rPr>
                <w:rFonts w:cs="Arial"/>
                <w:sz w:val="20"/>
                <w:szCs w:val="20"/>
              </w:rPr>
              <w:t>2.04</w:t>
            </w:r>
          </w:p>
        </w:tc>
        <w:tc>
          <w:tcPr>
            <w:tcW w:w="4480" w:type="dxa"/>
            <w:tcBorders>
              <w:top w:val="nil"/>
              <w:left w:val="nil"/>
              <w:bottom w:val="single" w:sz="4" w:space="0" w:color="auto"/>
              <w:right w:val="single" w:sz="4" w:space="0" w:color="auto"/>
            </w:tcBorders>
            <w:shd w:val="clear" w:color="auto" w:fill="auto"/>
            <w:vAlign w:val="center"/>
          </w:tcPr>
          <w:p w14:paraId="18ED45E1" w14:textId="5E3FB823" w:rsidR="00522EAC" w:rsidRPr="00CB0716" w:rsidRDefault="00522EAC" w:rsidP="00E26A16">
            <w:pPr>
              <w:rPr>
                <w:rFonts w:cs="Arial"/>
                <w:bCs/>
                <w:sz w:val="20"/>
                <w:szCs w:val="20"/>
              </w:rPr>
            </w:pPr>
            <w:r>
              <w:rPr>
                <w:rFonts w:cs="Arial"/>
                <w:bCs/>
                <w:sz w:val="20"/>
                <w:szCs w:val="20"/>
              </w:rPr>
              <w:t>Demographic Data and Forecasts</w:t>
            </w:r>
          </w:p>
        </w:tc>
        <w:tc>
          <w:tcPr>
            <w:tcW w:w="1329" w:type="dxa"/>
            <w:tcBorders>
              <w:top w:val="nil"/>
              <w:left w:val="nil"/>
              <w:bottom w:val="single" w:sz="4" w:space="0" w:color="auto"/>
              <w:right w:val="single" w:sz="4" w:space="0" w:color="auto"/>
            </w:tcBorders>
            <w:shd w:val="clear" w:color="auto" w:fill="auto"/>
            <w:noWrap/>
            <w:vAlign w:val="center"/>
          </w:tcPr>
          <w:p w14:paraId="619E89D9" w14:textId="446810F7" w:rsidR="00522EAC" w:rsidRPr="00CB0716" w:rsidRDefault="00522EAC" w:rsidP="00E26A16">
            <w:pPr>
              <w:jc w:val="right"/>
              <w:rPr>
                <w:rFonts w:cs="Arial"/>
                <w:sz w:val="20"/>
                <w:szCs w:val="20"/>
              </w:rPr>
            </w:pPr>
            <w:r>
              <w:rPr>
                <w:rFonts w:cs="Arial"/>
                <w:sz w:val="20"/>
                <w:szCs w:val="20"/>
              </w:rPr>
              <w:t>$644,000</w:t>
            </w:r>
          </w:p>
        </w:tc>
        <w:tc>
          <w:tcPr>
            <w:tcW w:w="1307" w:type="dxa"/>
            <w:tcBorders>
              <w:top w:val="nil"/>
              <w:left w:val="nil"/>
              <w:bottom w:val="single" w:sz="4" w:space="0" w:color="auto"/>
              <w:right w:val="single" w:sz="4" w:space="0" w:color="auto"/>
            </w:tcBorders>
            <w:shd w:val="clear" w:color="auto" w:fill="auto"/>
            <w:noWrap/>
            <w:vAlign w:val="center"/>
          </w:tcPr>
          <w:p w14:paraId="1A1B441E" w14:textId="0C3BEEC2" w:rsidR="00522EAC" w:rsidRPr="008812B9" w:rsidRDefault="00DF3200" w:rsidP="00E26A16">
            <w:pPr>
              <w:jc w:val="right"/>
              <w:rPr>
                <w:rFonts w:cs="Arial"/>
                <w:sz w:val="20"/>
                <w:szCs w:val="20"/>
              </w:rPr>
            </w:pPr>
            <w:r>
              <w:rPr>
                <w:rFonts w:cs="Arial"/>
                <w:sz w:val="20"/>
                <w:szCs w:val="20"/>
              </w:rPr>
              <w:t>$727,000</w:t>
            </w:r>
          </w:p>
        </w:tc>
        <w:tc>
          <w:tcPr>
            <w:tcW w:w="1244" w:type="dxa"/>
            <w:tcBorders>
              <w:top w:val="nil"/>
              <w:left w:val="nil"/>
              <w:bottom w:val="single" w:sz="4" w:space="0" w:color="auto"/>
              <w:right w:val="double" w:sz="4" w:space="0" w:color="auto"/>
            </w:tcBorders>
            <w:shd w:val="clear" w:color="auto" w:fill="auto"/>
            <w:noWrap/>
            <w:vAlign w:val="center"/>
          </w:tcPr>
          <w:p w14:paraId="2310F729" w14:textId="4A3E0302" w:rsidR="00522EAC" w:rsidRPr="008812B9" w:rsidRDefault="00DF3200" w:rsidP="00E26A16">
            <w:pPr>
              <w:jc w:val="right"/>
              <w:rPr>
                <w:rFonts w:cs="Arial"/>
                <w:sz w:val="20"/>
                <w:szCs w:val="20"/>
              </w:rPr>
            </w:pPr>
            <w:r>
              <w:rPr>
                <w:rFonts w:cs="Arial"/>
                <w:sz w:val="20"/>
                <w:szCs w:val="20"/>
              </w:rPr>
              <w:t>$83,000</w:t>
            </w:r>
          </w:p>
        </w:tc>
      </w:tr>
      <w:tr w:rsidR="00522EAC" w:rsidRPr="00CB0716" w14:paraId="2318DF72"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7C05BC83" w14:textId="28DA3724" w:rsidR="00522EAC" w:rsidRPr="00CB0716" w:rsidRDefault="00522EAC" w:rsidP="00E26A16">
            <w:pPr>
              <w:jc w:val="center"/>
              <w:rPr>
                <w:rFonts w:cs="Arial"/>
                <w:sz w:val="20"/>
                <w:szCs w:val="20"/>
              </w:rPr>
            </w:pPr>
            <w:r>
              <w:rPr>
                <w:rFonts w:cs="Arial"/>
                <w:sz w:val="20"/>
                <w:szCs w:val="20"/>
              </w:rPr>
              <w:t>2.05</w:t>
            </w:r>
          </w:p>
        </w:tc>
        <w:tc>
          <w:tcPr>
            <w:tcW w:w="4480" w:type="dxa"/>
            <w:tcBorders>
              <w:top w:val="nil"/>
              <w:left w:val="nil"/>
              <w:bottom w:val="single" w:sz="4" w:space="0" w:color="auto"/>
              <w:right w:val="single" w:sz="4" w:space="0" w:color="auto"/>
            </w:tcBorders>
            <w:shd w:val="clear" w:color="auto" w:fill="auto"/>
            <w:vAlign w:val="center"/>
          </w:tcPr>
          <w:p w14:paraId="031DFA16" w14:textId="2E6E1650" w:rsidR="00522EAC" w:rsidRPr="00CB0716" w:rsidRDefault="00522EAC" w:rsidP="00E26A16">
            <w:pPr>
              <w:rPr>
                <w:rFonts w:cs="Arial"/>
                <w:bCs/>
                <w:sz w:val="20"/>
                <w:szCs w:val="20"/>
              </w:rPr>
            </w:pPr>
            <w:r>
              <w:rPr>
                <w:rFonts w:cs="Arial"/>
                <w:bCs/>
                <w:sz w:val="20"/>
                <w:szCs w:val="20"/>
              </w:rPr>
              <w:t>Data Management</w:t>
            </w:r>
          </w:p>
        </w:tc>
        <w:tc>
          <w:tcPr>
            <w:tcW w:w="1329" w:type="dxa"/>
            <w:tcBorders>
              <w:top w:val="nil"/>
              <w:left w:val="nil"/>
              <w:bottom w:val="single" w:sz="4" w:space="0" w:color="auto"/>
              <w:right w:val="single" w:sz="4" w:space="0" w:color="auto"/>
            </w:tcBorders>
            <w:shd w:val="clear" w:color="auto" w:fill="auto"/>
            <w:noWrap/>
            <w:vAlign w:val="center"/>
          </w:tcPr>
          <w:p w14:paraId="300FC149" w14:textId="5FEEF921" w:rsidR="00522EAC" w:rsidRPr="00CB0716" w:rsidRDefault="00522EAC" w:rsidP="00E26A16">
            <w:pPr>
              <w:jc w:val="right"/>
              <w:rPr>
                <w:rFonts w:cs="Arial"/>
                <w:sz w:val="20"/>
                <w:szCs w:val="20"/>
              </w:rPr>
            </w:pPr>
            <w:r>
              <w:rPr>
                <w:rFonts w:cs="Arial"/>
                <w:sz w:val="20"/>
                <w:szCs w:val="20"/>
              </w:rPr>
              <w:t>$654,000</w:t>
            </w:r>
          </w:p>
        </w:tc>
        <w:tc>
          <w:tcPr>
            <w:tcW w:w="1307" w:type="dxa"/>
            <w:tcBorders>
              <w:top w:val="nil"/>
              <w:left w:val="nil"/>
              <w:bottom w:val="single" w:sz="4" w:space="0" w:color="auto"/>
              <w:right w:val="single" w:sz="4" w:space="0" w:color="auto"/>
            </w:tcBorders>
            <w:shd w:val="clear" w:color="auto" w:fill="auto"/>
            <w:noWrap/>
            <w:vAlign w:val="center"/>
          </w:tcPr>
          <w:p w14:paraId="6776D633" w14:textId="0677F4DA" w:rsidR="00522EAC" w:rsidRPr="008812B9" w:rsidRDefault="00DF3200" w:rsidP="00E26A16">
            <w:pPr>
              <w:jc w:val="right"/>
              <w:rPr>
                <w:rFonts w:cs="Arial"/>
                <w:sz w:val="20"/>
                <w:szCs w:val="20"/>
              </w:rPr>
            </w:pPr>
            <w:r>
              <w:rPr>
                <w:rFonts w:cs="Arial"/>
                <w:sz w:val="20"/>
                <w:szCs w:val="20"/>
              </w:rPr>
              <w:t>$764,000</w:t>
            </w:r>
          </w:p>
        </w:tc>
        <w:tc>
          <w:tcPr>
            <w:tcW w:w="1244" w:type="dxa"/>
            <w:tcBorders>
              <w:top w:val="nil"/>
              <w:left w:val="nil"/>
              <w:bottom w:val="single" w:sz="4" w:space="0" w:color="auto"/>
              <w:right w:val="double" w:sz="4" w:space="0" w:color="auto"/>
            </w:tcBorders>
            <w:shd w:val="clear" w:color="auto" w:fill="auto"/>
            <w:noWrap/>
            <w:vAlign w:val="center"/>
          </w:tcPr>
          <w:p w14:paraId="55045AB6" w14:textId="2C97E443" w:rsidR="00522EAC" w:rsidRPr="008812B9" w:rsidRDefault="00DF3200" w:rsidP="00E26A16">
            <w:pPr>
              <w:jc w:val="right"/>
              <w:rPr>
                <w:rFonts w:cs="Arial"/>
                <w:sz w:val="20"/>
                <w:szCs w:val="20"/>
              </w:rPr>
            </w:pPr>
            <w:r>
              <w:rPr>
                <w:rFonts w:cs="Arial"/>
                <w:sz w:val="20"/>
                <w:szCs w:val="20"/>
              </w:rPr>
              <w:t>$110,000</w:t>
            </w:r>
          </w:p>
        </w:tc>
      </w:tr>
      <w:tr w:rsidR="00522EAC" w:rsidRPr="00CB0716" w14:paraId="42AB37DF"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1EB6B4FA" w14:textId="5FEC83B7" w:rsidR="00522EAC" w:rsidRPr="00CB0716" w:rsidRDefault="00522EAC" w:rsidP="00E26A16">
            <w:pPr>
              <w:jc w:val="center"/>
              <w:rPr>
                <w:rFonts w:cs="Arial"/>
                <w:sz w:val="20"/>
                <w:szCs w:val="20"/>
              </w:rPr>
            </w:pPr>
            <w:r>
              <w:rPr>
                <w:rFonts w:cs="Arial"/>
                <w:sz w:val="20"/>
                <w:szCs w:val="20"/>
              </w:rPr>
              <w:t>2.06</w:t>
            </w:r>
          </w:p>
        </w:tc>
        <w:tc>
          <w:tcPr>
            <w:tcW w:w="4480" w:type="dxa"/>
            <w:tcBorders>
              <w:top w:val="nil"/>
              <w:left w:val="nil"/>
              <w:bottom w:val="single" w:sz="4" w:space="0" w:color="auto"/>
              <w:right w:val="single" w:sz="4" w:space="0" w:color="auto"/>
            </w:tcBorders>
            <w:shd w:val="clear" w:color="auto" w:fill="auto"/>
            <w:vAlign w:val="center"/>
          </w:tcPr>
          <w:p w14:paraId="624997A9" w14:textId="5B3CC55E" w:rsidR="00522EAC" w:rsidRPr="00CB0716" w:rsidRDefault="00522EAC" w:rsidP="00E26A16">
            <w:pPr>
              <w:rPr>
                <w:rFonts w:cs="Arial"/>
                <w:bCs/>
                <w:sz w:val="20"/>
                <w:szCs w:val="20"/>
              </w:rPr>
            </w:pPr>
            <w:r>
              <w:rPr>
                <w:rFonts w:cs="Arial"/>
                <w:bCs/>
                <w:sz w:val="20"/>
                <w:szCs w:val="20"/>
              </w:rPr>
              <w:t>Ensuring Equity, Nondiscrimination, and Environmental Justice in MPO Planning/ Program Activities</w:t>
            </w:r>
          </w:p>
        </w:tc>
        <w:tc>
          <w:tcPr>
            <w:tcW w:w="1329" w:type="dxa"/>
            <w:tcBorders>
              <w:top w:val="nil"/>
              <w:left w:val="nil"/>
              <w:bottom w:val="single" w:sz="4" w:space="0" w:color="auto"/>
              <w:right w:val="single" w:sz="4" w:space="0" w:color="auto"/>
            </w:tcBorders>
            <w:shd w:val="clear" w:color="auto" w:fill="auto"/>
            <w:noWrap/>
            <w:vAlign w:val="center"/>
          </w:tcPr>
          <w:p w14:paraId="3C4C1B1E" w14:textId="77CABD0A" w:rsidR="00522EAC" w:rsidRPr="00CB0716" w:rsidRDefault="00522EAC" w:rsidP="00522EAC">
            <w:pPr>
              <w:jc w:val="right"/>
              <w:rPr>
                <w:rFonts w:cs="Arial"/>
                <w:sz w:val="20"/>
                <w:szCs w:val="20"/>
              </w:rPr>
            </w:pPr>
            <w:r>
              <w:rPr>
                <w:rFonts w:cs="Arial"/>
                <w:sz w:val="20"/>
                <w:szCs w:val="20"/>
              </w:rPr>
              <w:t>$267,000</w:t>
            </w:r>
          </w:p>
        </w:tc>
        <w:tc>
          <w:tcPr>
            <w:tcW w:w="1307" w:type="dxa"/>
            <w:tcBorders>
              <w:top w:val="nil"/>
              <w:left w:val="nil"/>
              <w:bottom w:val="single" w:sz="4" w:space="0" w:color="auto"/>
              <w:right w:val="single" w:sz="4" w:space="0" w:color="auto"/>
            </w:tcBorders>
            <w:shd w:val="clear" w:color="auto" w:fill="auto"/>
            <w:noWrap/>
            <w:vAlign w:val="center"/>
          </w:tcPr>
          <w:p w14:paraId="4EB916E1" w14:textId="3F4436E1" w:rsidR="00522EAC" w:rsidRPr="008812B9" w:rsidRDefault="00DF3200" w:rsidP="00E26A16">
            <w:pPr>
              <w:jc w:val="right"/>
              <w:rPr>
                <w:rFonts w:cs="Arial"/>
                <w:sz w:val="20"/>
                <w:szCs w:val="20"/>
              </w:rPr>
            </w:pPr>
            <w:r>
              <w:rPr>
                <w:rFonts w:cs="Arial"/>
                <w:sz w:val="20"/>
                <w:szCs w:val="20"/>
              </w:rPr>
              <w:t>$226,000</w:t>
            </w:r>
          </w:p>
        </w:tc>
        <w:tc>
          <w:tcPr>
            <w:tcW w:w="1244" w:type="dxa"/>
            <w:tcBorders>
              <w:top w:val="nil"/>
              <w:left w:val="nil"/>
              <w:bottom w:val="single" w:sz="4" w:space="0" w:color="auto"/>
              <w:right w:val="double" w:sz="4" w:space="0" w:color="auto"/>
            </w:tcBorders>
            <w:shd w:val="clear" w:color="auto" w:fill="auto"/>
            <w:noWrap/>
            <w:vAlign w:val="center"/>
          </w:tcPr>
          <w:p w14:paraId="2DAF8C6F" w14:textId="0EAE9FD7" w:rsidR="00522EAC" w:rsidRPr="008812B9" w:rsidRDefault="00DF3200" w:rsidP="00E26A16">
            <w:pPr>
              <w:jc w:val="right"/>
              <w:rPr>
                <w:rFonts w:cs="Arial"/>
                <w:sz w:val="20"/>
                <w:szCs w:val="20"/>
              </w:rPr>
            </w:pPr>
            <w:r w:rsidRPr="00DF3200">
              <w:rPr>
                <w:rFonts w:cs="Arial"/>
                <w:color w:val="FF0000"/>
                <w:sz w:val="20"/>
                <w:szCs w:val="20"/>
              </w:rPr>
              <w:t>($41,000)</w:t>
            </w:r>
          </w:p>
        </w:tc>
      </w:tr>
      <w:tr w:rsidR="00522EAC" w:rsidRPr="00CB0716" w14:paraId="57BFB7E1"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741341C6" w14:textId="300DA172" w:rsidR="00522EAC" w:rsidRPr="00CB0716" w:rsidRDefault="00522EAC" w:rsidP="00E26A16">
            <w:pPr>
              <w:jc w:val="center"/>
              <w:rPr>
                <w:rFonts w:cs="Arial"/>
                <w:sz w:val="20"/>
                <w:szCs w:val="20"/>
              </w:rPr>
            </w:pPr>
            <w:r>
              <w:rPr>
                <w:rFonts w:cs="Arial"/>
                <w:sz w:val="20"/>
                <w:szCs w:val="20"/>
              </w:rPr>
              <w:t>2.07</w:t>
            </w:r>
          </w:p>
        </w:tc>
        <w:tc>
          <w:tcPr>
            <w:tcW w:w="4480" w:type="dxa"/>
            <w:tcBorders>
              <w:top w:val="nil"/>
              <w:left w:val="nil"/>
              <w:bottom w:val="single" w:sz="4" w:space="0" w:color="auto"/>
              <w:right w:val="single" w:sz="4" w:space="0" w:color="auto"/>
            </w:tcBorders>
            <w:shd w:val="clear" w:color="auto" w:fill="auto"/>
            <w:vAlign w:val="center"/>
          </w:tcPr>
          <w:p w14:paraId="21CF3CFF" w14:textId="66E78741" w:rsidR="00522EAC" w:rsidRPr="00CB0716" w:rsidRDefault="00522EAC" w:rsidP="00E26A16">
            <w:pPr>
              <w:rPr>
                <w:rFonts w:cs="Arial"/>
                <w:bCs/>
                <w:sz w:val="20"/>
                <w:szCs w:val="20"/>
              </w:rPr>
            </w:pPr>
            <w:r>
              <w:rPr>
                <w:rFonts w:cs="Arial"/>
                <w:bCs/>
                <w:sz w:val="20"/>
                <w:szCs w:val="20"/>
              </w:rPr>
              <w:t>Performance-based Planning and Coordination</w:t>
            </w:r>
          </w:p>
        </w:tc>
        <w:tc>
          <w:tcPr>
            <w:tcW w:w="1329" w:type="dxa"/>
            <w:tcBorders>
              <w:top w:val="nil"/>
              <w:left w:val="nil"/>
              <w:bottom w:val="single" w:sz="4" w:space="0" w:color="auto"/>
              <w:right w:val="single" w:sz="4" w:space="0" w:color="auto"/>
            </w:tcBorders>
            <w:shd w:val="clear" w:color="auto" w:fill="auto"/>
            <w:noWrap/>
            <w:vAlign w:val="center"/>
          </w:tcPr>
          <w:p w14:paraId="2663C40D" w14:textId="1B1E630D" w:rsidR="00522EAC" w:rsidRPr="00CB0716" w:rsidRDefault="00522EAC" w:rsidP="00E26A16">
            <w:pPr>
              <w:jc w:val="right"/>
              <w:rPr>
                <w:rFonts w:cs="Arial"/>
                <w:sz w:val="20"/>
                <w:szCs w:val="20"/>
              </w:rPr>
            </w:pPr>
            <w:r>
              <w:rPr>
                <w:rFonts w:cs="Arial"/>
                <w:sz w:val="20"/>
                <w:szCs w:val="20"/>
              </w:rPr>
              <w:t>$176,000</w:t>
            </w:r>
          </w:p>
        </w:tc>
        <w:tc>
          <w:tcPr>
            <w:tcW w:w="1307" w:type="dxa"/>
            <w:tcBorders>
              <w:top w:val="nil"/>
              <w:left w:val="nil"/>
              <w:bottom w:val="single" w:sz="4" w:space="0" w:color="auto"/>
              <w:right w:val="single" w:sz="4" w:space="0" w:color="auto"/>
            </w:tcBorders>
            <w:shd w:val="clear" w:color="auto" w:fill="auto"/>
            <w:noWrap/>
            <w:vAlign w:val="center"/>
          </w:tcPr>
          <w:p w14:paraId="5C64F027" w14:textId="63F24224" w:rsidR="00522EAC" w:rsidRPr="008812B9" w:rsidRDefault="00DF3200" w:rsidP="00E26A16">
            <w:pPr>
              <w:jc w:val="right"/>
              <w:rPr>
                <w:rFonts w:cs="Arial"/>
                <w:sz w:val="20"/>
                <w:szCs w:val="20"/>
              </w:rPr>
            </w:pPr>
            <w:r>
              <w:rPr>
                <w:rFonts w:cs="Arial"/>
                <w:sz w:val="20"/>
                <w:szCs w:val="20"/>
              </w:rPr>
              <w:t>$144,000</w:t>
            </w:r>
          </w:p>
        </w:tc>
        <w:tc>
          <w:tcPr>
            <w:tcW w:w="1244" w:type="dxa"/>
            <w:tcBorders>
              <w:top w:val="nil"/>
              <w:left w:val="nil"/>
              <w:bottom w:val="single" w:sz="4" w:space="0" w:color="auto"/>
              <w:right w:val="double" w:sz="4" w:space="0" w:color="auto"/>
            </w:tcBorders>
            <w:shd w:val="clear" w:color="auto" w:fill="auto"/>
            <w:noWrap/>
            <w:vAlign w:val="center"/>
          </w:tcPr>
          <w:p w14:paraId="275DE24F" w14:textId="6ECC8564" w:rsidR="00522EAC" w:rsidRPr="00DF3200" w:rsidRDefault="00DF3200" w:rsidP="00E26A16">
            <w:pPr>
              <w:jc w:val="right"/>
              <w:rPr>
                <w:rFonts w:cs="Arial"/>
                <w:color w:val="FF0000"/>
                <w:sz w:val="20"/>
                <w:szCs w:val="20"/>
              </w:rPr>
            </w:pPr>
            <w:r w:rsidRPr="00DF3200">
              <w:rPr>
                <w:rFonts w:cs="Arial"/>
                <w:color w:val="FF0000"/>
                <w:sz w:val="20"/>
                <w:szCs w:val="20"/>
              </w:rPr>
              <w:t>($32,000)</w:t>
            </w:r>
          </w:p>
        </w:tc>
      </w:tr>
      <w:tr w:rsidR="00B3255D" w:rsidRPr="00CB0716" w14:paraId="599E4DBF"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000000" w:fill="F2F2F2"/>
            <w:noWrap/>
            <w:vAlign w:val="center"/>
            <w:hideMark/>
          </w:tcPr>
          <w:p w14:paraId="258C0803" w14:textId="77777777" w:rsidR="00B3255D" w:rsidRPr="00CB0716" w:rsidRDefault="00B3255D" w:rsidP="00E26A16">
            <w:pPr>
              <w:jc w:val="center"/>
              <w:rPr>
                <w:rFonts w:cs="Arial"/>
                <w:sz w:val="20"/>
                <w:szCs w:val="20"/>
              </w:rPr>
            </w:pPr>
          </w:p>
        </w:tc>
        <w:tc>
          <w:tcPr>
            <w:tcW w:w="4480" w:type="dxa"/>
            <w:tcBorders>
              <w:top w:val="single" w:sz="4" w:space="0" w:color="auto"/>
              <w:left w:val="nil"/>
              <w:bottom w:val="single" w:sz="4" w:space="0" w:color="auto"/>
              <w:right w:val="single" w:sz="4" w:space="0" w:color="auto"/>
            </w:tcBorders>
            <w:shd w:val="clear" w:color="000000" w:fill="F2F2F2"/>
            <w:noWrap/>
            <w:vAlign w:val="center"/>
            <w:hideMark/>
          </w:tcPr>
          <w:p w14:paraId="081C1A7C" w14:textId="77777777" w:rsidR="00B3255D" w:rsidRPr="00CB0716" w:rsidRDefault="00B3255D" w:rsidP="00E26A16">
            <w:pPr>
              <w:rPr>
                <w:rFonts w:cs="Arial"/>
                <w:b/>
                <w:bCs/>
                <w:sz w:val="20"/>
                <w:szCs w:val="20"/>
              </w:rPr>
            </w:pPr>
            <w:r w:rsidRPr="00CB0716">
              <w:rPr>
                <w:rFonts w:cs="Arial"/>
                <w:b/>
                <w:bCs/>
                <w:sz w:val="20"/>
                <w:szCs w:val="20"/>
              </w:rPr>
              <w:t>Subtask 2 - Transportation Data Development and Maintenance</w:t>
            </w:r>
          </w:p>
        </w:tc>
        <w:tc>
          <w:tcPr>
            <w:tcW w:w="1329" w:type="dxa"/>
            <w:tcBorders>
              <w:top w:val="single" w:sz="4" w:space="0" w:color="auto"/>
              <w:left w:val="nil"/>
              <w:bottom w:val="single" w:sz="4" w:space="0" w:color="auto"/>
              <w:right w:val="single" w:sz="4" w:space="0" w:color="auto"/>
            </w:tcBorders>
            <w:shd w:val="clear" w:color="000000" w:fill="F2F2F2"/>
            <w:noWrap/>
            <w:vAlign w:val="center"/>
          </w:tcPr>
          <w:p w14:paraId="3930ADC9" w14:textId="1068272F" w:rsidR="00B3255D" w:rsidRPr="00CB0716" w:rsidRDefault="00B3255D" w:rsidP="00E26A16">
            <w:pPr>
              <w:jc w:val="right"/>
              <w:rPr>
                <w:rFonts w:cs="Arial"/>
                <w:b/>
                <w:bCs/>
                <w:sz w:val="20"/>
                <w:szCs w:val="20"/>
              </w:rPr>
            </w:pPr>
            <w:r w:rsidRPr="00CB0716">
              <w:rPr>
                <w:rFonts w:cs="Arial"/>
                <w:b/>
                <w:bCs/>
                <w:sz w:val="20"/>
                <w:szCs w:val="20"/>
              </w:rPr>
              <w:t>$</w:t>
            </w:r>
            <w:r w:rsidR="00DF3200">
              <w:rPr>
                <w:rFonts w:cs="Arial"/>
                <w:b/>
                <w:bCs/>
                <w:sz w:val="20"/>
                <w:szCs w:val="20"/>
              </w:rPr>
              <w:t>3,105,000</w:t>
            </w:r>
          </w:p>
        </w:tc>
        <w:tc>
          <w:tcPr>
            <w:tcW w:w="1307" w:type="dxa"/>
            <w:tcBorders>
              <w:top w:val="single" w:sz="4" w:space="0" w:color="auto"/>
              <w:left w:val="nil"/>
              <w:bottom w:val="single" w:sz="4" w:space="0" w:color="auto"/>
              <w:right w:val="single" w:sz="4" w:space="0" w:color="auto"/>
            </w:tcBorders>
            <w:shd w:val="clear" w:color="000000" w:fill="F2F2F2"/>
            <w:noWrap/>
            <w:vAlign w:val="center"/>
          </w:tcPr>
          <w:p w14:paraId="1B87CE57" w14:textId="40A0E08F" w:rsidR="00B3255D" w:rsidRPr="008812B9" w:rsidRDefault="00B3255D" w:rsidP="00E26A16">
            <w:pPr>
              <w:jc w:val="right"/>
              <w:rPr>
                <w:rFonts w:cs="Arial"/>
                <w:b/>
                <w:bCs/>
                <w:sz w:val="20"/>
                <w:szCs w:val="20"/>
              </w:rPr>
            </w:pPr>
            <w:r w:rsidRPr="008812B9">
              <w:rPr>
                <w:rFonts w:cs="Arial"/>
                <w:b/>
                <w:bCs/>
                <w:sz w:val="20"/>
                <w:szCs w:val="20"/>
              </w:rPr>
              <w:t>$</w:t>
            </w:r>
            <w:r w:rsidR="00DF3200">
              <w:rPr>
                <w:rFonts w:cs="Arial"/>
                <w:b/>
                <w:bCs/>
                <w:sz w:val="20"/>
                <w:szCs w:val="20"/>
              </w:rPr>
              <w:t>3,454,000</w:t>
            </w:r>
          </w:p>
        </w:tc>
        <w:tc>
          <w:tcPr>
            <w:tcW w:w="1244" w:type="dxa"/>
            <w:tcBorders>
              <w:top w:val="single" w:sz="4" w:space="0" w:color="auto"/>
              <w:left w:val="nil"/>
              <w:bottom w:val="single" w:sz="4" w:space="0" w:color="auto"/>
              <w:right w:val="double" w:sz="4" w:space="0" w:color="auto"/>
            </w:tcBorders>
            <w:shd w:val="clear" w:color="000000" w:fill="F2F2F2"/>
            <w:noWrap/>
            <w:vAlign w:val="center"/>
          </w:tcPr>
          <w:p w14:paraId="44039CAC" w14:textId="35650242" w:rsidR="00B3255D" w:rsidRPr="008812B9" w:rsidRDefault="00B3255D" w:rsidP="00E26A16">
            <w:pPr>
              <w:jc w:val="right"/>
              <w:rPr>
                <w:rFonts w:cs="Arial"/>
                <w:b/>
                <w:bCs/>
                <w:sz w:val="20"/>
                <w:szCs w:val="20"/>
              </w:rPr>
            </w:pPr>
            <w:r w:rsidRPr="008812B9">
              <w:rPr>
                <w:rFonts w:cs="Arial"/>
                <w:b/>
                <w:bCs/>
                <w:sz w:val="20"/>
                <w:szCs w:val="20"/>
              </w:rPr>
              <w:t>$</w:t>
            </w:r>
            <w:r w:rsidR="00DF3200">
              <w:rPr>
                <w:rFonts w:cs="Arial"/>
                <w:b/>
                <w:bCs/>
                <w:sz w:val="20"/>
                <w:szCs w:val="20"/>
              </w:rPr>
              <w:t>349,000</w:t>
            </w:r>
          </w:p>
        </w:tc>
      </w:tr>
    </w:tbl>
    <w:p w14:paraId="32E53AAE" w14:textId="77777777" w:rsidR="00156230" w:rsidRDefault="00156230">
      <w:r>
        <w:br w:type="page"/>
      </w:r>
    </w:p>
    <w:p w14:paraId="629DDBF0" w14:textId="77777777" w:rsidR="00156230" w:rsidRDefault="00156230" w:rsidP="00156230">
      <w:pPr>
        <w:jc w:val="center"/>
        <w:rPr>
          <w:rFonts w:cs="Arial"/>
          <w:b/>
          <w:bCs/>
        </w:rPr>
      </w:pPr>
      <w:r w:rsidRPr="00CB0716">
        <w:rPr>
          <w:rFonts w:cs="Arial"/>
          <w:b/>
          <w:bCs/>
        </w:rPr>
        <w:lastRenderedPageBreak/>
        <w:t>FY202</w:t>
      </w:r>
      <w:r>
        <w:rPr>
          <w:rFonts w:cs="Arial"/>
          <w:b/>
          <w:bCs/>
        </w:rPr>
        <w:t>4</w:t>
      </w:r>
      <w:r w:rsidRPr="00CB0716">
        <w:rPr>
          <w:rFonts w:cs="Arial"/>
          <w:b/>
          <w:bCs/>
        </w:rPr>
        <w:t xml:space="preserve"> and FY202</w:t>
      </w:r>
      <w:r>
        <w:rPr>
          <w:rFonts w:cs="Arial"/>
          <w:b/>
          <w:bCs/>
        </w:rPr>
        <w:t>5</w:t>
      </w:r>
      <w:r w:rsidRPr="00CB0716">
        <w:rPr>
          <w:rFonts w:cs="Arial"/>
          <w:b/>
          <w:bCs/>
        </w:rPr>
        <w:t xml:space="preserve"> Allocation of Transportation Planning Funds </w:t>
      </w:r>
      <w:r>
        <w:rPr>
          <w:rFonts w:cs="Arial"/>
          <w:b/>
          <w:bCs/>
        </w:rPr>
        <w:t>(Continued)</w:t>
      </w:r>
    </w:p>
    <w:p w14:paraId="4869A1D1" w14:textId="77777777" w:rsidR="00156230" w:rsidRDefault="00156230"/>
    <w:tbl>
      <w:tblPr>
        <w:tblW w:w="9355" w:type="dxa"/>
        <w:jc w:val="center"/>
        <w:tblLook w:val="04A0" w:firstRow="1" w:lastRow="0" w:firstColumn="1" w:lastColumn="0" w:noHBand="0" w:noVBand="1"/>
      </w:tblPr>
      <w:tblGrid>
        <w:gridCol w:w="995"/>
        <w:gridCol w:w="4480"/>
        <w:gridCol w:w="1329"/>
        <w:gridCol w:w="1307"/>
        <w:gridCol w:w="22"/>
        <w:gridCol w:w="1222"/>
      </w:tblGrid>
      <w:tr w:rsidR="00156230" w:rsidRPr="00CB0716" w14:paraId="24A46840" w14:textId="77777777" w:rsidTr="004A4A73">
        <w:trPr>
          <w:trHeight w:val="405"/>
          <w:jc w:val="center"/>
        </w:trPr>
        <w:tc>
          <w:tcPr>
            <w:tcW w:w="995" w:type="dxa"/>
            <w:vMerge w:val="restart"/>
            <w:tcBorders>
              <w:top w:val="double" w:sz="4" w:space="0" w:color="auto"/>
              <w:left w:val="double" w:sz="4" w:space="0" w:color="auto"/>
              <w:bottom w:val="double" w:sz="6" w:space="0" w:color="000000"/>
              <w:right w:val="single" w:sz="4" w:space="0" w:color="auto"/>
            </w:tcBorders>
            <w:shd w:val="clear" w:color="auto" w:fill="D3E5F6" w:themeFill="accent3" w:themeFillTint="33"/>
            <w:noWrap/>
            <w:vAlign w:val="center"/>
            <w:hideMark/>
          </w:tcPr>
          <w:p w14:paraId="034D2B28" w14:textId="77777777" w:rsidR="00156230" w:rsidRPr="00CB0716" w:rsidRDefault="00156230" w:rsidP="004A4A73">
            <w:pPr>
              <w:jc w:val="center"/>
              <w:rPr>
                <w:rFonts w:cs="Arial"/>
                <w:b/>
                <w:bCs/>
                <w:sz w:val="20"/>
                <w:szCs w:val="20"/>
              </w:rPr>
            </w:pPr>
            <w:r w:rsidRPr="00CB0716">
              <w:rPr>
                <w:rFonts w:cs="Arial"/>
                <w:b/>
                <w:bCs/>
                <w:sz w:val="20"/>
                <w:szCs w:val="20"/>
              </w:rPr>
              <w:t>Subtask</w:t>
            </w:r>
          </w:p>
        </w:tc>
        <w:tc>
          <w:tcPr>
            <w:tcW w:w="4480" w:type="dxa"/>
            <w:vMerge w:val="restart"/>
            <w:tcBorders>
              <w:top w:val="double" w:sz="4" w:space="0" w:color="auto"/>
              <w:left w:val="single" w:sz="4" w:space="0" w:color="auto"/>
              <w:bottom w:val="double" w:sz="6" w:space="0" w:color="000000"/>
              <w:right w:val="single" w:sz="4" w:space="0" w:color="auto"/>
            </w:tcBorders>
            <w:shd w:val="clear" w:color="auto" w:fill="D3E5F6" w:themeFill="accent3" w:themeFillTint="33"/>
            <w:noWrap/>
            <w:vAlign w:val="center"/>
            <w:hideMark/>
          </w:tcPr>
          <w:p w14:paraId="427D4F49" w14:textId="77777777" w:rsidR="00156230" w:rsidRPr="00CB0716" w:rsidRDefault="00156230" w:rsidP="004A4A73">
            <w:pPr>
              <w:jc w:val="center"/>
              <w:rPr>
                <w:rFonts w:cs="Arial"/>
                <w:b/>
                <w:bCs/>
                <w:sz w:val="20"/>
                <w:szCs w:val="20"/>
              </w:rPr>
            </w:pPr>
            <w:r w:rsidRPr="00CB0716">
              <w:rPr>
                <w:rFonts w:cs="Arial"/>
                <w:b/>
                <w:bCs/>
                <w:sz w:val="20"/>
                <w:szCs w:val="20"/>
              </w:rPr>
              <w:t>Subtask Title</w:t>
            </w:r>
          </w:p>
        </w:tc>
        <w:tc>
          <w:tcPr>
            <w:tcW w:w="3880" w:type="dxa"/>
            <w:gridSpan w:val="4"/>
            <w:tcBorders>
              <w:top w:val="double" w:sz="4" w:space="0" w:color="auto"/>
              <w:left w:val="nil"/>
              <w:bottom w:val="single" w:sz="4" w:space="0" w:color="auto"/>
              <w:right w:val="double" w:sz="4" w:space="0" w:color="auto"/>
            </w:tcBorders>
            <w:shd w:val="clear" w:color="auto" w:fill="D3E5F6" w:themeFill="accent3" w:themeFillTint="33"/>
            <w:noWrap/>
            <w:vAlign w:val="center"/>
            <w:hideMark/>
          </w:tcPr>
          <w:p w14:paraId="5C57855F" w14:textId="77777777" w:rsidR="00156230" w:rsidRPr="00CB0716" w:rsidRDefault="00156230" w:rsidP="004A4A73">
            <w:pPr>
              <w:jc w:val="center"/>
              <w:rPr>
                <w:rFonts w:cs="Arial"/>
                <w:b/>
                <w:bCs/>
                <w:sz w:val="20"/>
                <w:szCs w:val="20"/>
              </w:rPr>
            </w:pPr>
            <w:r w:rsidRPr="00CB0716">
              <w:rPr>
                <w:rFonts w:cs="Arial"/>
                <w:b/>
                <w:bCs/>
                <w:sz w:val="20"/>
                <w:szCs w:val="20"/>
              </w:rPr>
              <w:t>2-Year Totals</w:t>
            </w:r>
          </w:p>
        </w:tc>
      </w:tr>
      <w:tr w:rsidR="00156230" w:rsidRPr="00CB0716" w14:paraId="029541E4" w14:textId="77777777" w:rsidTr="004A4A73">
        <w:trPr>
          <w:trHeight w:val="465"/>
          <w:jc w:val="center"/>
        </w:trPr>
        <w:tc>
          <w:tcPr>
            <w:tcW w:w="995" w:type="dxa"/>
            <w:vMerge/>
            <w:tcBorders>
              <w:top w:val="nil"/>
              <w:left w:val="double" w:sz="4" w:space="0" w:color="auto"/>
              <w:bottom w:val="double" w:sz="6" w:space="0" w:color="000000"/>
              <w:right w:val="single" w:sz="4" w:space="0" w:color="auto"/>
            </w:tcBorders>
            <w:shd w:val="clear" w:color="auto" w:fill="D3E5F6" w:themeFill="accent3" w:themeFillTint="33"/>
            <w:vAlign w:val="center"/>
            <w:hideMark/>
          </w:tcPr>
          <w:p w14:paraId="524037D0" w14:textId="77777777" w:rsidR="00156230" w:rsidRPr="00CB0716" w:rsidRDefault="00156230" w:rsidP="004A4A73">
            <w:pPr>
              <w:rPr>
                <w:rFonts w:cs="Arial"/>
                <w:b/>
                <w:bCs/>
                <w:sz w:val="20"/>
                <w:szCs w:val="20"/>
              </w:rPr>
            </w:pPr>
          </w:p>
        </w:tc>
        <w:tc>
          <w:tcPr>
            <w:tcW w:w="4480" w:type="dxa"/>
            <w:vMerge/>
            <w:tcBorders>
              <w:top w:val="nil"/>
              <w:left w:val="single" w:sz="4" w:space="0" w:color="auto"/>
              <w:bottom w:val="double" w:sz="6" w:space="0" w:color="000000"/>
              <w:right w:val="single" w:sz="4" w:space="0" w:color="auto"/>
            </w:tcBorders>
            <w:shd w:val="clear" w:color="auto" w:fill="D3E5F6" w:themeFill="accent3" w:themeFillTint="33"/>
            <w:vAlign w:val="center"/>
            <w:hideMark/>
          </w:tcPr>
          <w:p w14:paraId="04AA1B3B" w14:textId="77777777" w:rsidR="00156230" w:rsidRPr="00CB0716" w:rsidRDefault="00156230" w:rsidP="004A4A73">
            <w:pPr>
              <w:rPr>
                <w:rFonts w:cs="Arial"/>
                <w:b/>
                <w:bCs/>
                <w:sz w:val="20"/>
                <w:szCs w:val="20"/>
              </w:rPr>
            </w:pPr>
          </w:p>
        </w:tc>
        <w:tc>
          <w:tcPr>
            <w:tcW w:w="1329" w:type="dxa"/>
            <w:tcBorders>
              <w:top w:val="nil"/>
              <w:left w:val="nil"/>
              <w:bottom w:val="double" w:sz="6" w:space="0" w:color="auto"/>
              <w:right w:val="single" w:sz="4" w:space="0" w:color="auto"/>
            </w:tcBorders>
            <w:shd w:val="clear" w:color="auto" w:fill="D3E5F6" w:themeFill="accent3" w:themeFillTint="33"/>
            <w:vAlign w:val="center"/>
            <w:hideMark/>
          </w:tcPr>
          <w:p w14:paraId="0CE352CB" w14:textId="77777777" w:rsidR="00156230" w:rsidRPr="00CB0716" w:rsidRDefault="00156230" w:rsidP="004A4A73">
            <w:pPr>
              <w:jc w:val="center"/>
              <w:rPr>
                <w:rFonts w:cs="Arial"/>
                <w:b/>
                <w:bCs/>
                <w:sz w:val="20"/>
                <w:szCs w:val="20"/>
              </w:rPr>
            </w:pPr>
            <w:r w:rsidRPr="00CB0716">
              <w:rPr>
                <w:rFonts w:cs="Arial"/>
                <w:b/>
                <w:bCs/>
                <w:sz w:val="20"/>
                <w:szCs w:val="20"/>
              </w:rPr>
              <w:t>Current</w:t>
            </w:r>
          </w:p>
        </w:tc>
        <w:tc>
          <w:tcPr>
            <w:tcW w:w="1307" w:type="dxa"/>
            <w:tcBorders>
              <w:top w:val="nil"/>
              <w:left w:val="nil"/>
              <w:bottom w:val="double" w:sz="6" w:space="0" w:color="auto"/>
              <w:right w:val="single" w:sz="4" w:space="0" w:color="auto"/>
            </w:tcBorders>
            <w:shd w:val="clear" w:color="auto" w:fill="D3E5F6" w:themeFill="accent3" w:themeFillTint="33"/>
            <w:vAlign w:val="center"/>
            <w:hideMark/>
          </w:tcPr>
          <w:p w14:paraId="07EBFD9B" w14:textId="77777777" w:rsidR="00156230" w:rsidRPr="00CB0716" w:rsidRDefault="00156230" w:rsidP="004A4A73">
            <w:pPr>
              <w:jc w:val="center"/>
              <w:rPr>
                <w:rFonts w:cs="Arial"/>
                <w:b/>
                <w:bCs/>
                <w:sz w:val="20"/>
                <w:szCs w:val="20"/>
              </w:rPr>
            </w:pPr>
            <w:r w:rsidRPr="00CB0716">
              <w:rPr>
                <w:rFonts w:cs="Arial"/>
                <w:b/>
                <w:bCs/>
                <w:sz w:val="20"/>
                <w:szCs w:val="20"/>
              </w:rPr>
              <w:t>Proposed</w:t>
            </w:r>
          </w:p>
        </w:tc>
        <w:tc>
          <w:tcPr>
            <w:tcW w:w="1244" w:type="dxa"/>
            <w:gridSpan w:val="2"/>
            <w:tcBorders>
              <w:top w:val="nil"/>
              <w:left w:val="nil"/>
              <w:bottom w:val="double" w:sz="6" w:space="0" w:color="auto"/>
              <w:right w:val="double" w:sz="4" w:space="0" w:color="auto"/>
            </w:tcBorders>
            <w:shd w:val="clear" w:color="auto" w:fill="D3E5F6" w:themeFill="accent3" w:themeFillTint="33"/>
            <w:vAlign w:val="center"/>
            <w:hideMark/>
          </w:tcPr>
          <w:p w14:paraId="036CDE35" w14:textId="77777777" w:rsidR="00156230" w:rsidRPr="00CB0716" w:rsidRDefault="00156230" w:rsidP="004A4A73">
            <w:pPr>
              <w:jc w:val="center"/>
              <w:rPr>
                <w:rFonts w:cs="Arial"/>
                <w:b/>
                <w:bCs/>
                <w:sz w:val="20"/>
                <w:szCs w:val="20"/>
              </w:rPr>
            </w:pPr>
            <w:r w:rsidRPr="00CB0716">
              <w:rPr>
                <w:rFonts w:cs="Arial"/>
                <w:b/>
                <w:bCs/>
                <w:sz w:val="20"/>
                <w:szCs w:val="20"/>
              </w:rPr>
              <w:t>Variance</w:t>
            </w:r>
          </w:p>
        </w:tc>
      </w:tr>
      <w:tr w:rsidR="00156230" w:rsidRPr="00CB0716" w14:paraId="5FE5549D"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37040315" w14:textId="4547155A" w:rsidR="00156230" w:rsidRPr="00CB0716" w:rsidRDefault="00156230" w:rsidP="00156230">
            <w:pPr>
              <w:jc w:val="center"/>
              <w:rPr>
                <w:rFonts w:cs="Arial"/>
                <w:sz w:val="20"/>
                <w:szCs w:val="20"/>
              </w:rPr>
            </w:pPr>
            <w:r w:rsidRPr="00CB0716">
              <w:rPr>
                <w:rFonts w:cs="Arial"/>
                <w:sz w:val="20"/>
                <w:szCs w:val="20"/>
              </w:rPr>
              <w:t>3.01</w:t>
            </w:r>
          </w:p>
        </w:tc>
        <w:tc>
          <w:tcPr>
            <w:tcW w:w="4480" w:type="dxa"/>
            <w:tcBorders>
              <w:top w:val="nil"/>
              <w:left w:val="nil"/>
              <w:bottom w:val="single" w:sz="4" w:space="0" w:color="auto"/>
              <w:right w:val="single" w:sz="4" w:space="0" w:color="auto"/>
            </w:tcBorders>
            <w:shd w:val="clear" w:color="auto" w:fill="auto"/>
            <w:vAlign w:val="center"/>
          </w:tcPr>
          <w:p w14:paraId="2FF71D5D" w14:textId="30470001" w:rsidR="00156230" w:rsidRPr="00CB0716" w:rsidRDefault="00156230" w:rsidP="00156230">
            <w:pPr>
              <w:rPr>
                <w:rFonts w:cs="Arial"/>
                <w:sz w:val="20"/>
                <w:szCs w:val="20"/>
              </w:rPr>
            </w:pPr>
            <w:r w:rsidRPr="00CB0716">
              <w:rPr>
                <w:rFonts w:cs="Arial"/>
                <w:sz w:val="20"/>
                <w:szCs w:val="20"/>
              </w:rPr>
              <w:t>Transportation Project Programming</w:t>
            </w:r>
          </w:p>
        </w:tc>
        <w:tc>
          <w:tcPr>
            <w:tcW w:w="1329" w:type="dxa"/>
            <w:tcBorders>
              <w:top w:val="nil"/>
              <w:left w:val="nil"/>
              <w:bottom w:val="single" w:sz="4" w:space="0" w:color="auto"/>
              <w:right w:val="single" w:sz="4" w:space="0" w:color="auto"/>
            </w:tcBorders>
            <w:shd w:val="clear" w:color="auto" w:fill="auto"/>
            <w:noWrap/>
            <w:vAlign w:val="center"/>
          </w:tcPr>
          <w:p w14:paraId="362E3F5E" w14:textId="451FB99B"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1,773,000</w:t>
            </w:r>
          </w:p>
        </w:tc>
        <w:tc>
          <w:tcPr>
            <w:tcW w:w="1307" w:type="dxa"/>
            <w:tcBorders>
              <w:top w:val="nil"/>
              <w:left w:val="nil"/>
              <w:bottom w:val="single" w:sz="4" w:space="0" w:color="auto"/>
              <w:right w:val="single" w:sz="4" w:space="0" w:color="auto"/>
            </w:tcBorders>
            <w:shd w:val="clear" w:color="auto" w:fill="auto"/>
            <w:noWrap/>
            <w:vAlign w:val="center"/>
          </w:tcPr>
          <w:p w14:paraId="2741D709" w14:textId="545B6654" w:rsidR="00156230" w:rsidRPr="008812B9" w:rsidRDefault="00156230" w:rsidP="00156230">
            <w:pPr>
              <w:jc w:val="right"/>
              <w:rPr>
                <w:rFonts w:cs="Arial"/>
                <w:sz w:val="20"/>
                <w:szCs w:val="20"/>
              </w:rPr>
            </w:pPr>
            <w:r w:rsidRPr="008812B9">
              <w:rPr>
                <w:rFonts w:cs="Arial"/>
                <w:sz w:val="20"/>
                <w:szCs w:val="20"/>
              </w:rPr>
              <w:t>$</w:t>
            </w:r>
            <w:r>
              <w:rPr>
                <w:rFonts w:cs="Arial"/>
                <w:sz w:val="20"/>
                <w:szCs w:val="20"/>
              </w:rPr>
              <w:t>1,677,000</w:t>
            </w:r>
          </w:p>
        </w:tc>
        <w:tc>
          <w:tcPr>
            <w:tcW w:w="1244" w:type="dxa"/>
            <w:gridSpan w:val="2"/>
            <w:tcBorders>
              <w:top w:val="nil"/>
              <w:left w:val="nil"/>
              <w:bottom w:val="single" w:sz="4" w:space="0" w:color="auto"/>
              <w:right w:val="double" w:sz="4" w:space="0" w:color="auto"/>
            </w:tcBorders>
            <w:shd w:val="clear" w:color="auto" w:fill="auto"/>
            <w:noWrap/>
            <w:vAlign w:val="center"/>
          </w:tcPr>
          <w:p w14:paraId="23E33E9A" w14:textId="44E65048" w:rsidR="00156230" w:rsidRPr="008812B9" w:rsidRDefault="00156230" w:rsidP="00156230">
            <w:pPr>
              <w:jc w:val="right"/>
              <w:rPr>
                <w:rFonts w:cs="Arial"/>
                <w:sz w:val="20"/>
                <w:szCs w:val="20"/>
              </w:rPr>
            </w:pPr>
            <w:r w:rsidRPr="00033E2C">
              <w:rPr>
                <w:rFonts w:cs="Arial"/>
                <w:color w:val="FF0000"/>
                <w:sz w:val="20"/>
                <w:szCs w:val="20"/>
              </w:rPr>
              <w:t>($96,000)</w:t>
            </w:r>
          </w:p>
        </w:tc>
      </w:tr>
      <w:tr w:rsidR="00156230" w:rsidRPr="00CB0716" w14:paraId="017F0499"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hideMark/>
          </w:tcPr>
          <w:p w14:paraId="1426C2A1" w14:textId="77777777" w:rsidR="00156230" w:rsidRPr="00CB0716" w:rsidRDefault="00156230" w:rsidP="00156230">
            <w:pPr>
              <w:jc w:val="center"/>
              <w:rPr>
                <w:rFonts w:cs="Arial"/>
                <w:sz w:val="20"/>
                <w:szCs w:val="20"/>
              </w:rPr>
            </w:pPr>
            <w:r w:rsidRPr="00CB0716">
              <w:rPr>
                <w:rFonts w:cs="Arial"/>
                <w:sz w:val="20"/>
                <w:szCs w:val="20"/>
              </w:rPr>
              <w:t>3.02</w:t>
            </w:r>
          </w:p>
        </w:tc>
        <w:tc>
          <w:tcPr>
            <w:tcW w:w="4480" w:type="dxa"/>
            <w:tcBorders>
              <w:top w:val="nil"/>
              <w:left w:val="nil"/>
              <w:bottom w:val="single" w:sz="4" w:space="0" w:color="auto"/>
              <w:right w:val="single" w:sz="4" w:space="0" w:color="auto"/>
            </w:tcBorders>
            <w:shd w:val="clear" w:color="auto" w:fill="auto"/>
            <w:vAlign w:val="center"/>
            <w:hideMark/>
          </w:tcPr>
          <w:p w14:paraId="2E0544AD" w14:textId="77777777" w:rsidR="00156230" w:rsidRPr="00CB0716" w:rsidRDefault="00156230" w:rsidP="00156230">
            <w:pPr>
              <w:rPr>
                <w:rFonts w:cs="Arial"/>
                <w:sz w:val="20"/>
                <w:szCs w:val="20"/>
              </w:rPr>
            </w:pPr>
            <w:r w:rsidRPr="00CB0716">
              <w:rPr>
                <w:rFonts w:cs="Arial"/>
                <w:sz w:val="20"/>
                <w:szCs w:val="20"/>
              </w:rPr>
              <w:t>Regional Air Quality Planning</w:t>
            </w:r>
          </w:p>
        </w:tc>
        <w:tc>
          <w:tcPr>
            <w:tcW w:w="1329" w:type="dxa"/>
            <w:tcBorders>
              <w:top w:val="nil"/>
              <w:left w:val="nil"/>
              <w:bottom w:val="single" w:sz="4" w:space="0" w:color="auto"/>
              <w:right w:val="single" w:sz="4" w:space="0" w:color="auto"/>
            </w:tcBorders>
            <w:shd w:val="clear" w:color="auto" w:fill="auto"/>
            <w:noWrap/>
            <w:vAlign w:val="center"/>
          </w:tcPr>
          <w:p w14:paraId="1B285E71" w14:textId="58F69157"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555,000</w:t>
            </w:r>
          </w:p>
        </w:tc>
        <w:tc>
          <w:tcPr>
            <w:tcW w:w="1307" w:type="dxa"/>
            <w:tcBorders>
              <w:top w:val="nil"/>
              <w:left w:val="nil"/>
              <w:bottom w:val="single" w:sz="4" w:space="0" w:color="auto"/>
              <w:right w:val="single" w:sz="4" w:space="0" w:color="auto"/>
            </w:tcBorders>
            <w:shd w:val="clear" w:color="auto" w:fill="auto"/>
            <w:noWrap/>
            <w:vAlign w:val="center"/>
          </w:tcPr>
          <w:p w14:paraId="76BBD45D" w14:textId="05B9C6E6" w:rsidR="00156230" w:rsidRPr="008812B9" w:rsidRDefault="00156230" w:rsidP="00156230">
            <w:pPr>
              <w:jc w:val="right"/>
              <w:rPr>
                <w:rFonts w:cs="Arial"/>
                <w:sz w:val="20"/>
                <w:szCs w:val="20"/>
              </w:rPr>
            </w:pPr>
            <w:r w:rsidRPr="008812B9">
              <w:rPr>
                <w:rFonts w:cs="Arial"/>
                <w:sz w:val="20"/>
                <w:szCs w:val="20"/>
              </w:rPr>
              <w:t>$</w:t>
            </w:r>
            <w:r>
              <w:rPr>
                <w:rFonts w:cs="Arial"/>
                <w:sz w:val="20"/>
                <w:szCs w:val="20"/>
              </w:rPr>
              <w:t>690,000</w:t>
            </w:r>
          </w:p>
        </w:tc>
        <w:tc>
          <w:tcPr>
            <w:tcW w:w="1244" w:type="dxa"/>
            <w:gridSpan w:val="2"/>
            <w:tcBorders>
              <w:top w:val="nil"/>
              <w:left w:val="nil"/>
              <w:bottom w:val="single" w:sz="4" w:space="0" w:color="auto"/>
              <w:right w:val="double" w:sz="4" w:space="0" w:color="auto"/>
            </w:tcBorders>
            <w:shd w:val="clear" w:color="auto" w:fill="auto"/>
            <w:noWrap/>
            <w:vAlign w:val="center"/>
          </w:tcPr>
          <w:p w14:paraId="1ECEE049" w14:textId="13C728F8" w:rsidR="00156230" w:rsidRPr="008812B9" w:rsidRDefault="00156230" w:rsidP="00156230">
            <w:pPr>
              <w:jc w:val="right"/>
              <w:rPr>
                <w:rFonts w:cs="Arial"/>
                <w:sz w:val="20"/>
                <w:szCs w:val="20"/>
              </w:rPr>
            </w:pPr>
            <w:r w:rsidRPr="008812B9">
              <w:rPr>
                <w:rFonts w:cs="Arial"/>
                <w:sz w:val="20"/>
                <w:szCs w:val="20"/>
              </w:rPr>
              <w:t>$</w:t>
            </w:r>
            <w:r>
              <w:rPr>
                <w:rFonts w:cs="Arial"/>
                <w:sz w:val="20"/>
                <w:szCs w:val="20"/>
              </w:rPr>
              <w:t>135,000</w:t>
            </w:r>
          </w:p>
        </w:tc>
      </w:tr>
      <w:tr w:rsidR="00156230" w:rsidRPr="00CB0716" w14:paraId="206D2803"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00E01E47" w14:textId="77777777" w:rsidR="00156230" w:rsidRPr="00CB0716" w:rsidRDefault="00156230" w:rsidP="00156230">
            <w:pPr>
              <w:jc w:val="center"/>
              <w:rPr>
                <w:rFonts w:cs="Arial"/>
                <w:sz w:val="20"/>
                <w:szCs w:val="20"/>
              </w:rPr>
            </w:pPr>
            <w:r w:rsidRPr="00CB0716">
              <w:rPr>
                <w:rFonts w:cs="Arial"/>
                <w:sz w:val="20"/>
                <w:szCs w:val="20"/>
              </w:rPr>
              <w:t>3.03</w:t>
            </w:r>
          </w:p>
        </w:tc>
        <w:tc>
          <w:tcPr>
            <w:tcW w:w="4480" w:type="dxa"/>
            <w:tcBorders>
              <w:top w:val="nil"/>
              <w:left w:val="nil"/>
              <w:bottom w:val="single" w:sz="4" w:space="0" w:color="auto"/>
              <w:right w:val="single" w:sz="4" w:space="0" w:color="auto"/>
            </w:tcBorders>
            <w:shd w:val="clear" w:color="auto" w:fill="auto"/>
            <w:vAlign w:val="center"/>
          </w:tcPr>
          <w:p w14:paraId="30F64237" w14:textId="77777777" w:rsidR="00156230" w:rsidRPr="00CB0716" w:rsidRDefault="00156230" w:rsidP="00156230">
            <w:pPr>
              <w:rPr>
                <w:rFonts w:cs="Arial"/>
                <w:sz w:val="20"/>
                <w:szCs w:val="20"/>
              </w:rPr>
            </w:pPr>
            <w:r w:rsidRPr="00CB0716">
              <w:rPr>
                <w:rFonts w:cs="Arial"/>
                <w:sz w:val="20"/>
                <w:szCs w:val="20"/>
              </w:rPr>
              <w:t>Air Quality Management and Operations</w:t>
            </w:r>
          </w:p>
        </w:tc>
        <w:tc>
          <w:tcPr>
            <w:tcW w:w="1329" w:type="dxa"/>
            <w:tcBorders>
              <w:top w:val="nil"/>
              <w:left w:val="nil"/>
              <w:bottom w:val="single" w:sz="4" w:space="0" w:color="auto"/>
              <w:right w:val="single" w:sz="4" w:space="0" w:color="auto"/>
            </w:tcBorders>
            <w:shd w:val="clear" w:color="auto" w:fill="auto"/>
            <w:noWrap/>
            <w:vAlign w:val="center"/>
          </w:tcPr>
          <w:p w14:paraId="725714B3" w14:textId="77777777" w:rsidR="00156230" w:rsidRPr="00CB0716" w:rsidRDefault="00156230" w:rsidP="00156230">
            <w:pPr>
              <w:jc w:val="right"/>
              <w:rPr>
                <w:rFonts w:cs="Arial"/>
                <w:sz w:val="20"/>
                <w:szCs w:val="20"/>
              </w:rPr>
            </w:pPr>
            <w:r w:rsidRPr="00CB0716">
              <w:rPr>
                <w:rFonts w:cs="Arial"/>
                <w:sz w:val="20"/>
                <w:szCs w:val="20"/>
              </w:rPr>
              <w:t>$0</w:t>
            </w:r>
          </w:p>
        </w:tc>
        <w:tc>
          <w:tcPr>
            <w:tcW w:w="1307" w:type="dxa"/>
            <w:tcBorders>
              <w:top w:val="nil"/>
              <w:left w:val="nil"/>
              <w:bottom w:val="single" w:sz="4" w:space="0" w:color="auto"/>
              <w:right w:val="single" w:sz="4" w:space="0" w:color="auto"/>
            </w:tcBorders>
            <w:shd w:val="clear" w:color="auto" w:fill="auto"/>
            <w:noWrap/>
            <w:vAlign w:val="center"/>
          </w:tcPr>
          <w:p w14:paraId="11C20AFB" w14:textId="77777777" w:rsidR="00156230" w:rsidRPr="008812B9" w:rsidRDefault="00156230" w:rsidP="00156230">
            <w:pPr>
              <w:jc w:val="right"/>
              <w:rPr>
                <w:rFonts w:cs="Arial"/>
                <w:sz w:val="20"/>
                <w:szCs w:val="20"/>
              </w:rPr>
            </w:pPr>
            <w:r w:rsidRPr="008812B9">
              <w:rPr>
                <w:rFonts w:cs="Arial"/>
                <w:sz w:val="20"/>
                <w:szCs w:val="20"/>
              </w:rPr>
              <w:t>$0</w:t>
            </w:r>
          </w:p>
        </w:tc>
        <w:tc>
          <w:tcPr>
            <w:tcW w:w="1244" w:type="dxa"/>
            <w:gridSpan w:val="2"/>
            <w:tcBorders>
              <w:top w:val="nil"/>
              <w:left w:val="nil"/>
              <w:bottom w:val="single" w:sz="4" w:space="0" w:color="auto"/>
              <w:right w:val="double" w:sz="4" w:space="0" w:color="auto"/>
            </w:tcBorders>
            <w:shd w:val="clear" w:color="auto" w:fill="auto"/>
            <w:noWrap/>
            <w:vAlign w:val="center"/>
          </w:tcPr>
          <w:p w14:paraId="5C2C0949" w14:textId="77777777" w:rsidR="00156230" w:rsidRPr="008812B9" w:rsidRDefault="00156230" w:rsidP="00156230">
            <w:pPr>
              <w:jc w:val="right"/>
              <w:rPr>
                <w:rFonts w:cs="Arial"/>
                <w:sz w:val="20"/>
                <w:szCs w:val="20"/>
              </w:rPr>
            </w:pPr>
            <w:r w:rsidRPr="008812B9">
              <w:rPr>
                <w:rFonts w:cs="Arial"/>
                <w:sz w:val="20"/>
                <w:szCs w:val="20"/>
              </w:rPr>
              <w:t>$0</w:t>
            </w:r>
          </w:p>
        </w:tc>
      </w:tr>
      <w:tr w:rsidR="00156230" w:rsidRPr="00CB0716" w14:paraId="6B6B3B0B"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16A4C38C" w14:textId="77777777" w:rsidR="00156230" w:rsidRPr="00CB0716" w:rsidRDefault="00156230" w:rsidP="00156230">
            <w:pPr>
              <w:jc w:val="center"/>
              <w:rPr>
                <w:rFonts w:cs="Arial"/>
                <w:sz w:val="20"/>
                <w:szCs w:val="20"/>
              </w:rPr>
            </w:pPr>
            <w:r w:rsidRPr="00CB0716">
              <w:rPr>
                <w:rFonts w:cs="Arial"/>
                <w:sz w:val="20"/>
                <w:szCs w:val="20"/>
              </w:rPr>
              <w:t>3.04</w:t>
            </w:r>
          </w:p>
        </w:tc>
        <w:tc>
          <w:tcPr>
            <w:tcW w:w="4480" w:type="dxa"/>
            <w:tcBorders>
              <w:top w:val="nil"/>
              <w:left w:val="nil"/>
              <w:bottom w:val="single" w:sz="4" w:space="0" w:color="auto"/>
              <w:right w:val="single" w:sz="4" w:space="0" w:color="auto"/>
            </w:tcBorders>
            <w:shd w:val="clear" w:color="auto" w:fill="auto"/>
            <w:vAlign w:val="center"/>
          </w:tcPr>
          <w:p w14:paraId="49EE9E23" w14:textId="77777777" w:rsidR="00156230" w:rsidRPr="00CB0716" w:rsidRDefault="00156230" w:rsidP="00156230">
            <w:pPr>
              <w:rPr>
                <w:rFonts w:cs="Arial"/>
                <w:sz w:val="20"/>
                <w:szCs w:val="20"/>
              </w:rPr>
            </w:pPr>
            <w:r w:rsidRPr="00CB0716">
              <w:rPr>
                <w:rFonts w:cs="Arial"/>
                <w:sz w:val="20"/>
                <w:szCs w:val="20"/>
              </w:rPr>
              <w:t>Public Transportation Planning</w:t>
            </w:r>
          </w:p>
        </w:tc>
        <w:tc>
          <w:tcPr>
            <w:tcW w:w="1329" w:type="dxa"/>
            <w:tcBorders>
              <w:top w:val="nil"/>
              <w:left w:val="nil"/>
              <w:bottom w:val="single" w:sz="4" w:space="0" w:color="auto"/>
              <w:right w:val="single" w:sz="4" w:space="0" w:color="auto"/>
            </w:tcBorders>
            <w:shd w:val="clear" w:color="auto" w:fill="auto"/>
            <w:noWrap/>
            <w:vAlign w:val="center"/>
          </w:tcPr>
          <w:p w14:paraId="62357B1B" w14:textId="590CF1AF"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925,000</w:t>
            </w:r>
          </w:p>
        </w:tc>
        <w:tc>
          <w:tcPr>
            <w:tcW w:w="1307" w:type="dxa"/>
            <w:tcBorders>
              <w:top w:val="nil"/>
              <w:left w:val="nil"/>
              <w:bottom w:val="single" w:sz="4" w:space="0" w:color="auto"/>
              <w:right w:val="single" w:sz="4" w:space="0" w:color="auto"/>
            </w:tcBorders>
            <w:shd w:val="clear" w:color="auto" w:fill="auto"/>
            <w:noWrap/>
            <w:vAlign w:val="center"/>
          </w:tcPr>
          <w:p w14:paraId="38C0A535" w14:textId="38EF0820" w:rsidR="00156230" w:rsidRPr="008812B9" w:rsidRDefault="00156230" w:rsidP="00156230">
            <w:pPr>
              <w:jc w:val="right"/>
              <w:rPr>
                <w:rFonts w:cs="Arial"/>
                <w:sz w:val="20"/>
                <w:szCs w:val="20"/>
              </w:rPr>
            </w:pPr>
            <w:r w:rsidRPr="008812B9">
              <w:rPr>
                <w:rFonts w:cs="Arial"/>
                <w:sz w:val="20"/>
                <w:szCs w:val="20"/>
              </w:rPr>
              <w:t>$</w:t>
            </w:r>
            <w:r>
              <w:rPr>
                <w:rFonts w:cs="Arial"/>
                <w:sz w:val="20"/>
                <w:szCs w:val="20"/>
              </w:rPr>
              <w:t>1,166,000</w:t>
            </w:r>
          </w:p>
        </w:tc>
        <w:tc>
          <w:tcPr>
            <w:tcW w:w="1244" w:type="dxa"/>
            <w:gridSpan w:val="2"/>
            <w:tcBorders>
              <w:top w:val="nil"/>
              <w:left w:val="nil"/>
              <w:bottom w:val="single" w:sz="4" w:space="0" w:color="auto"/>
              <w:right w:val="double" w:sz="4" w:space="0" w:color="auto"/>
            </w:tcBorders>
            <w:shd w:val="clear" w:color="auto" w:fill="auto"/>
            <w:noWrap/>
            <w:vAlign w:val="center"/>
          </w:tcPr>
          <w:p w14:paraId="518EB965" w14:textId="589FE770" w:rsidR="00156230" w:rsidRPr="008812B9" w:rsidRDefault="00156230" w:rsidP="00156230">
            <w:pPr>
              <w:jc w:val="right"/>
              <w:rPr>
                <w:rFonts w:cs="Arial"/>
                <w:sz w:val="20"/>
                <w:szCs w:val="20"/>
              </w:rPr>
            </w:pPr>
            <w:r>
              <w:rPr>
                <w:rFonts w:cs="Arial"/>
                <w:sz w:val="20"/>
                <w:szCs w:val="20"/>
              </w:rPr>
              <w:t>$241,000</w:t>
            </w:r>
          </w:p>
        </w:tc>
      </w:tr>
      <w:tr w:rsidR="00156230" w:rsidRPr="00CB0716" w14:paraId="731D8982"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0BC50FA8" w14:textId="77777777" w:rsidR="00156230" w:rsidRPr="00CB0716" w:rsidRDefault="00156230" w:rsidP="00156230">
            <w:pPr>
              <w:jc w:val="center"/>
              <w:rPr>
                <w:rFonts w:cs="Arial"/>
                <w:sz w:val="20"/>
                <w:szCs w:val="20"/>
              </w:rPr>
            </w:pPr>
            <w:r w:rsidRPr="00CB0716">
              <w:rPr>
                <w:rFonts w:cs="Arial"/>
                <w:sz w:val="20"/>
                <w:szCs w:val="20"/>
              </w:rPr>
              <w:t>3.05</w:t>
            </w:r>
          </w:p>
        </w:tc>
        <w:tc>
          <w:tcPr>
            <w:tcW w:w="4480" w:type="dxa"/>
            <w:tcBorders>
              <w:top w:val="nil"/>
              <w:left w:val="nil"/>
              <w:bottom w:val="single" w:sz="4" w:space="0" w:color="auto"/>
              <w:right w:val="single" w:sz="4" w:space="0" w:color="auto"/>
            </w:tcBorders>
            <w:shd w:val="clear" w:color="auto" w:fill="auto"/>
            <w:vAlign w:val="center"/>
          </w:tcPr>
          <w:p w14:paraId="21F660D9" w14:textId="77777777" w:rsidR="00156230" w:rsidRPr="00CB0716" w:rsidRDefault="00156230" w:rsidP="00156230">
            <w:pPr>
              <w:rPr>
                <w:rFonts w:cs="Arial"/>
                <w:sz w:val="20"/>
                <w:szCs w:val="20"/>
              </w:rPr>
            </w:pPr>
            <w:r w:rsidRPr="00CB0716">
              <w:rPr>
                <w:rFonts w:cs="Arial"/>
                <w:sz w:val="20"/>
                <w:szCs w:val="20"/>
              </w:rPr>
              <w:t xml:space="preserve">Transit </w:t>
            </w:r>
            <w:r>
              <w:rPr>
                <w:rFonts w:cs="Arial"/>
                <w:sz w:val="20"/>
                <w:szCs w:val="20"/>
              </w:rPr>
              <w:t xml:space="preserve">Management and </w:t>
            </w:r>
            <w:r w:rsidRPr="00CB0716">
              <w:rPr>
                <w:rFonts w:cs="Arial"/>
                <w:sz w:val="20"/>
                <w:szCs w:val="20"/>
              </w:rPr>
              <w:t>Operations</w:t>
            </w:r>
          </w:p>
        </w:tc>
        <w:tc>
          <w:tcPr>
            <w:tcW w:w="1329" w:type="dxa"/>
            <w:tcBorders>
              <w:top w:val="nil"/>
              <w:left w:val="nil"/>
              <w:bottom w:val="single" w:sz="4" w:space="0" w:color="auto"/>
              <w:right w:val="single" w:sz="4" w:space="0" w:color="auto"/>
            </w:tcBorders>
            <w:shd w:val="clear" w:color="auto" w:fill="auto"/>
            <w:noWrap/>
            <w:vAlign w:val="center"/>
          </w:tcPr>
          <w:p w14:paraId="03EE1CE2" w14:textId="77777777" w:rsidR="00156230" w:rsidRPr="00CB0716" w:rsidRDefault="00156230" w:rsidP="00156230">
            <w:pPr>
              <w:jc w:val="right"/>
              <w:rPr>
                <w:rFonts w:cs="Arial"/>
                <w:sz w:val="20"/>
                <w:szCs w:val="20"/>
              </w:rPr>
            </w:pPr>
            <w:r w:rsidRPr="00CB0716">
              <w:rPr>
                <w:rFonts w:cs="Arial"/>
                <w:sz w:val="20"/>
                <w:szCs w:val="20"/>
              </w:rPr>
              <w:t>$0</w:t>
            </w:r>
          </w:p>
        </w:tc>
        <w:tc>
          <w:tcPr>
            <w:tcW w:w="1307" w:type="dxa"/>
            <w:tcBorders>
              <w:top w:val="nil"/>
              <w:left w:val="nil"/>
              <w:bottom w:val="single" w:sz="4" w:space="0" w:color="auto"/>
              <w:right w:val="single" w:sz="4" w:space="0" w:color="auto"/>
            </w:tcBorders>
            <w:shd w:val="clear" w:color="auto" w:fill="auto"/>
            <w:noWrap/>
            <w:vAlign w:val="center"/>
          </w:tcPr>
          <w:p w14:paraId="60D6B87B" w14:textId="77777777" w:rsidR="00156230" w:rsidRPr="008812B9" w:rsidRDefault="00156230" w:rsidP="00156230">
            <w:pPr>
              <w:jc w:val="right"/>
              <w:rPr>
                <w:rFonts w:cs="Arial"/>
                <w:sz w:val="20"/>
                <w:szCs w:val="20"/>
              </w:rPr>
            </w:pPr>
            <w:r w:rsidRPr="008812B9">
              <w:rPr>
                <w:rFonts w:cs="Arial"/>
                <w:sz w:val="20"/>
                <w:szCs w:val="20"/>
              </w:rPr>
              <w:t>$0</w:t>
            </w:r>
          </w:p>
        </w:tc>
        <w:tc>
          <w:tcPr>
            <w:tcW w:w="1244" w:type="dxa"/>
            <w:gridSpan w:val="2"/>
            <w:tcBorders>
              <w:top w:val="nil"/>
              <w:left w:val="nil"/>
              <w:bottom w:val="single" w:sz="4" w:space="0" w:color="auto"/>
              <w:right w:val="double" w:sz="4" w:space="0" w:color="auto"/>
            </w:tcBorders>
            <w:shd w:val="clear" w:color="auto" w:fill="auto"/>
            <w:noWrap/>
            <w:vAlign w:val="center"/>
          </w:tcPr>
          <w:p w14:paraId="2870313C" w14:textId="77777777" w:rsidR="00156230" w:rsidRPr="008812B9" w:rsidRDefault="00156230" w:rsidP="00156230">
            <w:pPr>
              <w:jc w:val="right"/>
              <w:rPr>
                <w:rFonts w:cs="Arial"/>
                <w:sz w:val="20"/>
                <w:szCs w:val="20"/>
              </w:rPr>
            </w:pPr>
            <w:r w:rsidRPr="008812B9">
              <w:rPr>
                <w:rFonts w:cs="Arial"/>
                <w:sz w:val="20"/>
                <w:szCs w:val="20"/>
              </w:rPr>
              <w:t>$0</w:t>
            </w:r>
          </w:p>
        </w:tc>
      </w:tr>
      <w:tr w:rsidR="00156230" w:rsidRPr="00CB0716" w14:paraId="6C6D57D5"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34319DEC" w14:textId="535FFF53" w:rsidR="00156230" w:rsidRPr="00CB0716" w:rsidRDefault="00156230" w:rsidP="00156230">
            <w:pPr>
              <w:jc w:val="center"/>
              <w:rPr>
                <w:rFonts w:cs="Arial"/>
                <w:sz w:val="20"/>
                <w:szCs w:val="20"/>
              </w:rPr>
            </w:pPr>
            <w:r>
              <w:rPr>
                <w:rFonts w:cs="Arial"/>
                <w:sz w:val="20"/>
                <w:szCs w:val="20"/>
              </w:rPr>
              <w:t>3.06</w:t>
            </w:r>
          </w:p>
        </w:tc>
        <w:tc>
          <w:tcPr>
            <w:tcW w:w="4480" w:type="dxa"/>
            <w:tcBorders>
              <w:top w:val="nil"/>
              <w:left w:val="nil"/>
              <w:bottom w:val="single" w:sz="4" w:space="0" w:color="auto"/>
              <w:right w:val="single" w:sz="4" w:space="0" w:color="auto"/>
            </w:tcBorders>
            <w:shd w:val="clear" w:color="auto" w:fill="auto"/>
            <w:vAlign w:val="center"/>
          </w:tcPr>
          <w:p w14:paraId="6E8435A2" w14:textId="31B229FD" w:rsidR="00156230" w:rsidRPr="00CB0716" w:rsidRDefault="00156230" w:rsidP="00156230">
            <w:pPr>
              <w:rPr>
                <w:rFonts w:cs="Arial"/>
                <w:sz w:val="20"/>
                <w:szCs w:val="20"/>
              </w:rPr>
            </w:pPr>
            <w:r>
              <w:rPr>
                <w:rFonts w:cs="Arial"/>
                <w:sz w:val="20"/>
                <w:szCs w:val="20"/>
              </w:rPr>
              <w:t xml:space="preserve">Congestion Management Planning </w:t>
            </w:r>
          </w:p>
        </w:tc>
        <w:tc>
          <w:tcPr>
            <w:tcW w:w="1329" w:type="dxa"/>
            <w:tcBorders>
              <w:top w:val="nil"/>
              <w:left w:val="nil"/>
              <w:bottom w:val="single" w:sz="4" w:space="0" w:color="auto"/>
              <w:right w:val="single" w:sz="4" w:space="0" w:color="auto"/>
            </w:tcBorders>
            <w:shd w:val="clear" w:color="auto" w:fill="auto"/>
            <w:noWrap/>
            <w:vAlign w:val="center"/>
          </w:tcPr>
          <w:p w14:paraId="610A6BF4" w14:textId="314B441D" w:rsidR="00156230" w:rsidRPr="00CB0716" w:rsidRDefault="00156230" w:rsidP="00156230">
            <w:pPr>
              <w:jc w:val="right"/>
              <w:rPr>
                <w:rFonts w:cs="Arial"/>
                <w:sz w:val="20"/>
                <w:szCs w:val="20"/>
              </w:rPr>
            </w:pPr>
            <w:r>
              <w:rPr>
                <w:rFonts w:cs="Arial"/>
                <w:sz w:val="20"/>
                <w:szCs w:val="20"/>
              </w:rPr>
              <w:t>$640,000</w:t>
            </w:r>
          </w:p>
        </w:tc>
        <w:tc>
          <w:tcPr>
            <w:tcW w:w="1307" w:type="dxa"/>
            <w:tcBorders>
              <w:top w:val="nil"/>
              <w:left w:val="nil"/>
              <w:bottom w:val="single" w:sz="4" w:space="0" w:color="auto"/>
              <w:right w:val="single" w:sz="4" w:space="0" w:color="auto"/>
            </w:tcBorders>
            <w:shd w:val="clear" w:color="auto" w:fill="auto"/>
            <w:noWrap/>
            <w:vAlign w:val="center"/>
          </w:tcPr>
          <w:p w14:paraId="67DC6341" w14:textId="12140753" w:rsidR="00156230" w:rsidRPr="008812B9" w:rsidRDefault="00156230" w:rsidP="00156230">
            <w:pPr>
              <w:jc w:val="right"/>
              <w:rPr>
                <w:rFonts w:cs="Arial"/>
                <w:sz w:val="20"/>
                <w:szCs w:val="20"/>
              </w:rPr>
            </w:pPr>
            <w:r>
              <w:rPr>
                <w:rFonts w:cs="Arial"/>
                <w:sz w:val="20"/>
                <w:szCs w:val="20"/>
              </w:rPr>
              <w:t>$637,000</w:t>
            </w:r>
          </w:p>
        </w:tc>
        <w:tc>
          <w:tcPr>
            <w:tcW w:w="1244" w:type="dxa"/>
            <w:gridSpan w:val="2"/>
            <w:tcBorders>
              <w:top w:val="nil"/>
              <w:left w:val="nil"/>
              <w:bottom w:val="single" w:sz="4" w:space="0" w:color="auto"/>
              <w:right w:val="double" w:sz="4" w:space="0" w:color="auto"/>
            </w:tcBorders>
            <w:shd w:val="clear" w:color="auto" w:fill="auto"/>
            <w:noWrap/>
            <w:vAlign w:val="center"/>
          </w:tcPr>
          <w:p w14:paraId="0CD898DF" w14:textId="60D1ABF1" w:rsidR="00156230" w:rsidRPr="008812B9" w:rsidRDefault="00156230" w:rsidP="00156230">
            <w:pPr>
              <w:jc w:val="right"/>
              <w:rPr>
                <w:rFonts w:cs="Arial"/>
                <w:sz w:val="20"/>
                <w:szCs w:val="20"/>
              </w:rPr>
            </w:pPr>
            <w:r w:rsidRPr="00033E2C">
              <w:rPr>
                <w:rFonts w:cs="Arial"/>
                <w:color w:val="FF0000"/>
                <w:sz w:val="20"/>
                <w:szCs w:val="20"/>
              </w:rPr>
              <w:t>($3,000)</w:t>
            </w:r>
          </w:p>
        </w:tc>
      </w:tr>
      <w:tr w:rsidR="00156230" w:rsidRPr="00CB0716" w14:paraId="6BCA0233"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tcPr>
          <w:p w14:paraId="4B2C8D3C" w14:textId="1400DBFE" w:rsidR="00156230" w:rsidRPr="00CB0716" w:rsidRDefault="00156230" w:rsidP="00156230">
            <w:pPr>
              <w:jc w:val="center"/>
              <w:rPr>
                <w:rFonts w:cs="Arial"/>
                <w:sz w:val="20"/>
                <w:szCs w:val="20"/>
              </w:rPr>
            </w:pPr>
            <w:r>
              <w:rPr>
                <w:rFonts w:cs="Arial"/>
                <w:sz w:val="20"/>
                <w:szCs w:val="20"/>
              </w:rPr>
              <w:t>3.07</w:t>
            </w:r>
          </w:p>
        </w:tc>
        <w:tc>
          <w:tcPr>
            <w:tcW w:w="4480" w:type="dxa"/>
            <w:tcBorders>
              <w:top w:val="nil"/>
              <w:left w:val="nil"/>
              <w:bottom w:val="single" w:sz="4" w:space="0" w:color="auto"/>
              <w:right w:val="single" w:sz="4" w:space="0" w:color="auto"/>
            </w:tcBorders>
            <w:shd w:val="clear" w:color="auto" w:fill="auto"/>
            <w:vAlign w:val="center"/>
          </w:tcPr>
          <w:p w14:paraId="07330148" w14:textId="10573766" w:rsidR="00156230" w:rsidRPr="00CB0716" w:rsidRDefault="00156230" w:rsidP="00156230">
            <w:pPr>
              <w:rPr>
                <w:rFonts w:cs="Arial"/>
                <w:sz w:val="20"/>
                <w:szCs w:val="20"/>
              </w:rPr>
            </w:pPr>
            <w:r>
              <w:rPr>
                <w:rFonts w:cs="Arial"/>
                <w:sz w:val="20"/>
                <w:szCs w:val="20"/>
              </w:rPr>
              <w:t>Congestion Management Operations</w:t>
            </w:r>
          </w:p>
        </w:tc>
        <w:tc>
          <w:tcPr>
            <w:tcW w:w="1329" w:type="dxa"/>
            <w:tcBorders>
              <w:top w:val="nil"/>
              <w:left w:val="nil"/>
              <w:bottom w:val="single" w:sz="4" w:space="0" w:color="auto"/>
              <w:right w:val="single" w:sz="4" w:space="0" w:color="auto"/>
            </w:tcBorders>
            <w:shd w:val="clear" w:color="auto" w:fill="auto"/>
            <w:noWrap/>
            <w:vAlign w:val="center"/>
          </w:tcPr>
          <w:p w14:paraId="4AC4C966" w14:textId="3F6E3F50" w:rsidR="00156230" w:rsidRPr="00CB0716" w:rsidRDefault="00156230" w:rsidP="00156230">
            <w:pPr>
              <w:jc w:val="right"/>
              <w:rPr>
                <w:rFonts w:cs="Arial"/>
                <w:sz w:val="20"/>
                <w:szCs w:val="20"/>
              </w:rPr>
            </w:pPr>
            <w:r>
              <w:rPr>
                <w:rFonts w:cs="Arial"/>
                <w:sz w:val="20"/>
                <w:szCs w:val="20"/>
              </w:rPr>
              <w:t>$0</w:t>
            </w:r>
          </w:p>
        </w:tc>
        <w:tc>
          <w:tcPr>
            <w:tcW w:w="1307" w:type="dxa"/>
            <w:tcBorders>
              <w:top w:val="nil"/>
              <w:left w:val="nil"/>
              <w:bottom w:val="single" w:sz="4" w:space="0" w:color="auto"/>
              <w:right w:val="single" w:sz="4" w:space="0" w:color="auto"/>
            </w:tcBorders>
            <w:shd w:val="clear" w:color="auto" w:fill="auto"/>
            <w:noWrap/>
            <w:vAlign w:val="center"/>
          </w:tcPr>
          <w:p w14:paraId="7A6F2844" w14:textId="2569BFF0" w:rsidR="00156230" w:rsidRPr="008812B9" w:rsidRDefault="00156230" w:rsidP="00156230">
            <w:pPr>
              <w:jc w:val="right"/>
              <w:rPr>
                <w:rFonts w:cs="Arial"/>
                <w:sz w:val="20"/>
                <w:szCs w:val="20"/>
              </w:rPr>
            </w:pPr>
            <w:r>
              <w:rPr>
                <w:rFonts w:cs="Arial"/>
                <w:sz w:val="20"/>
                <w:szCs w:val="20"/>
              </w:rPr>
              <w:t>$0</w:t>
            </w:r>
          </w:p>
        </w:tc>
        <w:tc>
          <w:tcPr>
            <w:tcW w:w="1244" w:type="dxa"/>
            <w:gridSpan w:val="2"/>
            <w:tcBorders>
              <w:top w:val="nil"/>
              <w:left w:val="nil"/>
              <w:bottom w:val="single" w:sz="4" w:space="0" w:color="auto"/>
              <w:right w:val="double" w:sz="4" w:space="0" w:color="auto"/>
            </w:tcBorders>
            <w:shd w:val="clear" w:color="auto" w:fill="auto"/>
            <w:noWrap/>
            <w:vAlign w:val="center"/>
          </w:tcPr>
          <w:p w14:paraId="1568AD38" w14:textId="66BE199C" w:rsidR="00156230" w:rsidRPr="008812B9" w:rsidRDefault="00156230" w:rsidP="00156230">
            <w:pPr>
              <w:jc w:val="right"/>
              <w:rPr>
                <w:rFonts w:cs="Arial"/>
                <w:sz w:val="20"/>
                <w:szCs w:val="20"/>
              </w:rPr>
            </w:pPr>
            <w:r>
              <w:rPr>
                <w:rFonts w:cs="Arial"/>
                <w:sz w:val="20"/>
                <w:szCs w:val="20"/>
              </w:rPr>
              <w:t>$0</w:t>
            </w:r>
          </w:p>
        </w:tc>
      </w:tr>
      <w:tr w:rsidR="00156230" w:rsidRPr="00500A16" w14:paraId="60D6B41E"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F2F2F2" w:themeFill="background1" w:themeFillShade="F2"/>
            <w:noWrap/>
            <w:vAlign w:val="center"/>
          </w:tcPr>
          <w:p w14:paraId="4F3141B4" w14:textId="77777777" w:rsidR="00156230" w:rsidRPr="00500A16" w:rsidRDefault="00156230" w:rsidP="00156230">
            <w:pPr>
              <w:jc w:val="center"/>
              <w:rPr>
                <w:rFonts w:cs="Arial"/>
                <w:b/>
                <w:bCs/>
                <w:sz w:val="20"/>
                <w:szCs w:val="20"/>
              </w:rPr>
            </w:pPr>
          </w:p>
        </w:tc>
        <w:tc>
          <w:tcPr>
            <w:tcW w:w="44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B26B70" w14:textId="350424B1" w:rsidR="00156230" w:rsidRPr="00500A16" w:rsidRDefault="00156230" w:rsidP="00156230">
            <w:pPr>
              <w:rPr>
                <w:rFonts w:cs="Arial"/>
                <w:b/>
                <w:bCs/>
                <w:sz w:val="20"/>
                <w:szCs w:val="20"/>
              </w:rPr>
            </w:pPr>
            <w:r w:rsidRPr="00500A16">
              <w:rPr>
                <w:rFonts w:cs="Arial"/>
                <w:b/>
                <w:bCs/>
                <w:sz w:val="20"/>
                <w:szCs w:val="20"/>
              </w:rPr>
              <w:t>Subtask 3 - Short-Range Planning</w:t>
            </w:r>
            <w:r>
              <w:rPr>
                <w:rFonts w:cs="Arial"/>
                <w:b/>
                <w:bCs/>
                <w:sz w:val="20"/>
                <w:szCs w:val="20"/>
              </w:rPr>
              <w:t>,</w:t>
            </w:r>
            <w:r w:rsidRPr="00500A16">
              <w:rPr>
                <w:rFonts w:cs="Arial"/>
                <w:b/>
                <w:bCs/>
                <w:sz w:val="20"/>
                <w:szCs w:val="20"/>
              </w:rPr>
              <w:t xml:space="preserve"> Programming, and Operations</w:t>
            </w:r>
          </w:p>
        </w:tc>
        <w:tc>
          <w:tcPr>
            <w:tcW w:w="13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D06161" w14:textId="2439D0EB" w:rsidR="00156230" w:rsidRPr="00500A16" w:rsidRDefault="00156230" w:rsidP="00156230">
            <w:pPr>
              <w:jc w:val="right"/>
              <w:rPr>
                <w:rFonts w:cs="Arial"/>
                <w:b/>
                <w:bCs/>
                <w:sz w:val="20"/>
                <w:szCs w:val="20"/>
              </w:rPr>
            </w:pPr>
            <w:r w:rsidRPr="00500A16">
              <w:rPr>
                <w:rFonts w:cs="Arial"/>
                <w:b/>
                <w:bCs/>
                <w:sz w:val="20"/>
                <w:szCs w:val="20"/>
              </w:rPr>
              <w:t>$</w:t>
            </w:r>
            <w:r>
              <w:rPr>
                <w:rFonts w:cs="Arial"/>
                <w:b/>
                <w:bCs/>
                <w:sz w:val="20"/>
                <w:szCs w:val="20"/>
              </w:rPr>
              <w:t>3,893,000</w:t>
            </w:r>
          </w:p>
        </w:tc>
        <w:tc>
          <w:tcPr>
            <w:tcW w:w="130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34C132" w14:textId="64BEE1BF" w:rsidR="00156230" w:rsidRPr="00500A16" w:rsidRDefault="00156230" w:rsidP="00156230">
            <w:pPr>
              <w:jc w:val="right"/>
              <w:rPr>
                <w:rFonts w:cs="Arial"/>
                <w:b/>
                <w:bCs/>
                <w:sz w:val="20"/>
                <w:szCs w:val="20"/>
              </w:rPr>
            </w:pPr>
            <w:r w:rsidRPr="00500A16">
              <w:rPr>
                <w:rFonts w:cs="Arial"/>
                <w:b/>
                <w:bCs/>
                <w:sz w:val="20"/>
                <w:szCs w:val="20"/>
              </w:rPr>
              <w:t>$</w:t>
            </w:r>
            <w:r>
              <w:rPr>
                <w:rFonts w:cs="Arial"/>
                <w:b/>
                <w:bCs/>
                <w:sz w:val="20"/>
                <w:szCs w:val="20"/>
              </w:rPr>
              <w:t>4,170,000</w:t>
            </w:r>
          </w:p>
        </w:tc>
        <w:tc>
          <w:tcPr>
            <w:tcW w:w="1244" w:type="dxa"/>
            <w:gridSpan w:val="2"/>
            <w:tcBorders>
              <w:top w:val="single" w:sz="4" w:space="0" w:color="auto"/>
              <w:left w:val="nil"/>
              <w:bottom w:val="single" w:sz="4" w:space="0" w:color="auto"/>
              <w:right w:val="double" w:sz="4" w:space="0" w:color="auto"/>
            </w:tcBorders>
            <w:shd w:val="clear" w:color="auto" w:fill="F2F2F2" w:themeFill="background1" w:themeFillShade="F2"/>
            <w:noWrap/>
            <w:vAlign w:val="center"/>
          </w:tcPr>
          <w:p w14:paraId="1DE477DA" w14:textId="0B9F4447" w:rsidR="00156230" w:rsidRPr="00500A16" w:rsidRDefault="00156230" w:rsidP="00156230">
            <w:pPr>
              <w:jc w:val="right"/>
              <w:rPr>
                <w:rFonts w:cs="Arial"/>
                <w:b/>
                <w:bCs/>
                <w:sz w:val="20"/>
                <w:szCs w:val="20"/>
              </w:rPr>
            </w:pPr>
            <w:r w:rsidRPr="00500A16">
              <w:rPr>
                <w:rFonts w:cs="Arial"/>
                <w:b/>
                <w:bCs/>
                <w:sz w:val="20"/>
                <w:szCs w:val="20"/>
              </w:rPr>
              <w:t>$2</w:t>
            </w:r>
            <w:r>
              <w:rPr>
                <w:rFonts w:cs="Arial"/>
                <w:b/>
                <w:bCs/>
                <w:sz w:val="20"/>
                <w:szCs w:val="20"/>
              </w:rPr>
              <w:t>77</w:t>
            </w:r>
            <w:r w:rsidRPr="00500A16">
              <w:rPr>
                <w:rFonts w:cs="Arial"/>
                <w:b/>
                <w:bCs/>
                <w:sz w:val="20"/>
                <w:szCs w:val="20"/>
              </w:rPr>
              <w:t>,000</w:t>
            </w:r>
          </w:p>
        </w:tc>
      </w:tr>
      <w:tr w:rsidR="00156230" w:rsidRPr="00CB0716" w14:paraId="1181B89B"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hideMark/>
          </w:tcPr>
          <w:p w14:paraId="33971269" w14:textId="77777777" w:rsidR="00156230" w:rsidRPr="00CB0716" w:rsidRDefault="00156230" w:rsidP="00156230">
            <w:pPr>
              <w:jc w:val="center"/>
              <w:rPr>
                <w:rFonts w:cs="Arial"/>
                <w:sz w:val="20"/>
                <w:szCs w:val="20"/>
              </w:rPr>
            </w:pPr>
            <w:r w:rsidRPr="00CB0716">
              <w:rPr>
                <w:rFonts w:cs="Arial"/>
                <w:sz w:val="20"/>
                <w:szCs w:val="20"/>
              </w:rPr>
              <w:t>4.01</w:t>
            </w:r>
          </w:p>
        </w:tc>
        <w:tc>
          <w:tcPr>
            <w:tcW w:w="4480" w:type="dxa"/>
            <w:tcBorders>
              <w:top w:val="nil"/>
              <w:left w:val="nil"/>
              <w:bottom w:val="single" w:sz="4" w:space="0" w:color="auto"/>
              <w:right w:val="single" w:sz="4" w:space="0" w:color="auto"/>
            </w:tcBorders>
            <w:shd w:val="clear" w:color="auto" w:fill="auto"/>
            <w:vAlign w:val="center"/>
            <w:hideMark/>
          </w:tcPr>
          <w:p w14:paraId="45AA0A41" w14:textId="77777777" w:rsidR="00156230" w:rsidRPr="00CB0716" w:rsidRDefault="00156230" w:rsidP="00156230">
            <w:pPr>
              <w:rPr>
                <w:rFonts w:cs="Arial"/>
                <w:sz w:val="20"/>
                <w:szCs w:val="20"/>
              </w:rPr>
            </w:pPr>
            <w:r w:rsidRPr="00CB0716">
              <w:rPr>
                <w:rFonts w:cs="Arial"/>
                <w:sz w:val="20"/>
                <w:szCs w:val="20"/>
              </w:rPr>
              <w:t>Metropolitan Transportation Planning</w:t>
            </w:r>
          </w:p>
        </w:tc>
        <w:tc>
          <w:tcPr>
            <w:tcW w:w="1329" w:type="dxa"/>
            <w:tcBorders>
              <w:top w:val="nil"/>
              <w:left w:val="nil"/>
              <w:bottom w:val="single" w:sz="4" w:space="0" w:color="auto"/>
              <w:right w:val="single" w:sz="4" w:space="0" w:color="auto"/>
            </w:tcBorders>
            <w:shd w:val="clear" w:color="auto" w:fill="auto"/>
            <w:noWrap/>
            <w:vAlign w:val="center"/>
          </w:tcPr>
          <w:p w14:paraId="2758493A" w14:textId="6B1097B3"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1,923,000</w:t>
            </w:r>
          </w:p>
        </w:tc>
        <w:tc>
          <w:tcPr>
            <w:tcW w:w="1329" w:type="dxa"/>
            <w:gridSpan w:val="2"/>
            <w:tcBorders>
              <w:top w:val="nil"/>
              <w:left w:val="nil"/>
              <w:bottom w:val="single" w:sz="4" w:space="0" w:color="auto"/>
              <w:right w:val="single" w:sz="4" w:space="0" w:color="auto"/>
            </w:tcBorders>
            <w:shd w:val="clear" w:color="auto" w:fill="auto"/>
            <w:noWrap/>
            <w:vAlign w:val="center"/>
          </w:tcPr>
          <w:p w14:paraId="00FDFD8E" w14:textId="3F429C0B"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1,801,000</w:t>
            </w:r>
          </w:p>
        </w:tc>
        <w:tc>
          <w:tcPr>
            <w:tcW w:w="1222" w:type="dxa"/>
            <w:tcBorders>
              <w:top w:val="nil"/>
              <w:left w:val="nil"/>
              <w:bottom w:val="single" w:sz="4" w:space="0" w:color="auto"/>
              <w:right w:val="double" w:sz="4" w:space="0" w:color="auto"/>
            </w:tcBorders>
            <w:shd w:val="clear" w:color="auto" w:fill="auto"/>
            <w:noWrap/>
            <w:vAlign w:val="center"/>
          </w:tcPr>
          <w:p w14:paraId="2AF4EF01" w14:textId="647216C5" w:rsidR="00156230" w:rsidRPr="00627AFA" w:rsidRDefault="00156230" w:rsidP="00156230">
            <w:pPr>
              <w:jc w:val="right"/>
              <w:rPr>
                <w:rFonts w:cs="Arial"/>
                <w:color w:val="FF0000"/>
                <w:sz w:val="20"/>
                <w:szCs w:val="20"/>
              </w:rPr>
            </w:pPr>
            <w:r w:rsidRPr="00627AFA">
              <w:rPr>
                <w:rFonts w:cs="Arial"/>
                <w:color w:val="FF0000"/>
                <w:sz w:val="20"/>
                <w:szCs w:val="20"/>
              </w:rPr>
              <w:t>($122,000)</w:t>
            </w:r>
          </w:p>
        </w:tc>
      </w:tr>
      <w:tr w:rsidR="00156230" w:rsidRPr="00CB0716" w14:paraId="01036788" w14:textId="77777777" w:rsidTr="00156230">
        <w:trPr>
          <w:trHeight w:val="450"/>
          <w:jc w:val="center"/>
        </w:trPr>
        <w:tc>
          <w:tcPr>
            <w:tcW w:w="995" w:type="dxa"/>
            <w:tcBorders>
              <w:top w:val="nil"/>
              <w:left w:val="double" w:sz="4" w:space="0" w:color="auto"/>
              <w:bottom w:val="single" w:sz="4" w:space="0" w:color="auto"/>
              <w:right w:val="single" w:sz="4" w:space="0" w:color="auto"/>
            </w:tcBorders>
            <w:shd w:val="clear" w:color="auto" w:fill="auto"/>
            <w:noWrap/>
            <w:vAlign w:val="center"/>
            <w:hideMark/>
          </w:tcPr>
          <w:p w14:paraId="3893DCFA" w14:textId="77777777" w:rsidR="00156230" w:rsidRPr="00CB0716" w:rsidRDefault="00156230" w:rsidP="00156230">
            <w:pPr>
              <w:jc w:val="center"/>
              <w:rPr>
                <w:rFonts w:cs="Arial"/>
                <w:sz w:val="20"/>
                <w:szCs w:val="20"/>
              </w:rPr>
            </w:pPr>
            <w:r w:rsidRPr="00CB0716">
              <w:rPr>
                <w:rFonts w:cs="Arial"/>
                <w:sz w:val="20"/>
                <w:szCs w:val="20"/>
              </w:rPr>
              <w:t>4.02</w:t>
            </w:r>
          </w:p>
        </w:tc>
        <w:tc>
          <w:tcPr>
            <w:tcW w:w="4480" w:type="dxa"/>
            <w:tcBorders>
              <w:top w:val="nil"/>
              <w:left w:val="nil"/>
              <w:bottom w:val="single" w:sz="4" w:space="0" w:color="auto"/>
              <w:right w:val="single" w:sz="4" w:space="0" w:color="auto"/>
            </w:tcBorders>
            <w:shd w:val="clear" w:color="auto" w:fill="auto"/>
            <w:vAlign w:val="center"/>
            <w:hideMark/>
          </w:tcPr>
          <w:p w14:paraId="1B9129AB" w14:textId="77777777" w:rsidR="00156230" w:rsidRPr="00CB0716" w:rsidRDefault="00156230" w:rsidP="00156230">
            <w:pPr>
              <w:rPr>
                <w:rFonts w:cs="Arial"/>
                <w:sz w:val="20"/>
                <w:szCs w:val="20"/>
              </w:rPr>
            </w:pPr>
            <w:r w:rsidRPr="00CB0716">
              <w:rPr>
                <w:rFonts w:cs="Arial"/>
                <w:sz w:val="20"/>
                <w:szCs w:val="20"/>
              </w:rPr>
              <w:t>Coordination of Transportation and Environmental Planning Processes</w:t>
            </w:r>
          </w:p>
        </w:tc>
        <w:tc>
          <w:tcPr>
            <w:tcW w:w="1329" w:type="dxa"/>
            <w:tcBorders>
              <w:top w:val="nil"/>
              <w:left w:val="nil"/>
              <w:bottom w:val="single" w:sz="4" w:space="0" w:color="auto"/>
              <w:right w:val="single" w:sz="4" w:space="0" w:color="auto"/>
            </w:tcBorders>
            <w:shd w:val="clear" w:color="auto" w:fill="auto"/>
            <w:noWrap/>
            <w:vAlign w:val="center"/>
          </w:tcPr>
          <w:p w14:paraId="2AF841D1" w14:textId="35F8FEA8"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153,000</w:t>
            </w:r>
          </w:p>
        </w:tc>
        <w:tc>
          <w:tcPr>
            <w:tcW w:w="1329" w:type="dxa"/>
            <w:gridSpan w:val="2"/>
            <w:tcBorders>
              <w:top w:val="nil"/>
              <w:left w:val="nil"/>
              <w:bottom w:val="single" w:sz="4" w:space="0" w:color="auto"/>
              <w:right w:val="single" w:sz="4" w:space="0" w:color="auto"/>
            </w:tcBorders>
            <w:shd w:val="clear" w:color="auto" w:fill="auto"/>
            <w:noWrap/>
            <w:vAlign w:val="center"/>
          </w:tcPr>
          <w:p w14:paraId="1101A75A" w14:textId="5E26A2B4"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241,000</w:t>
            </w:r>
          </w:p>
        </w:tc>
        <w:tc>
          <w:tcPr>
            <w:tcW w:w="1222" w:type="dxa"/>
            <w:tcBorders>
              <w:top w:val="nil"/>
              <w:left w:val="nil"/>
              <w:bottom w:val="single" w:sz="4" w:space="0" w:color="auto"/>
              <w:right w:val="double" w:sz="4" w:space="0" w:color="auto"/>
            </w:tcBorders>
            <w:shd w:val="clear" w:color="auto" w:fill="auto"/>
            <w:noWrap/>
            <w:vAlign w:val="center"/>
          </w:tcPr>
          <w:p w14:paraId="077DD28F" w14:textId="55BE0EC2" w:rsidR="00156230" w:rsidRPr="00CB0716" w:rsidRDefault="00156230" w:rsidP="00156230">
            <w:pPr>
              <w:jc w:val="right"/>
              <w:rPr>
                <w:rFonts w:cs="Arial"/>
                <w:sz w:val="20"/>
                <w:szCs w:val="20"/>
              </w:rPr>
            </w:pPr>
            <w:r>
              <w:rPr>
                <w:rFonts w:cs="Arial"/>
                <w:sz w:val="20"/>
                <w:szCs w:val="20"/>
              </w:rPr>
              <w:t>$88,000</w:t>
            </w:r>
          </w:p>
        </w:tc>
      </w:tr>
      <w:tr w:rsidR="00156230" w:rsidRPr="00CB0716" w14:paraId="225C0894"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C44CAB0" w14:textId="737B5180" w:rsidR="00156230" w:rsidRPr="00CB0716" w:rsidRDefault="00156230" w:rsidP="00156230">
            <w:pPr>
              <w:jc w:val="center"/>
              <w:rPr>
                <w:rFonts w:cs="Arial"/>
                <w:sz w:val="20"/>
                <w:szCs w:val="20"/>
              </w:rPr>
            </w:pPr>
            <w:r w:rsidRPr="00CB0716">
              <w:rPr>
                <w:rFonts w:cs="Arial"/>
                <w:sz w:val="20"/>
                <w:szCs w:val="20"/>
              </w:rPr>
              <w:t>4.</w:t>
            </w:r>
            <w:r>
              <w:rPr>
                <w:rFonts w:cs="Arial"/>
                <w:sz w:val="20"/>
                <w:szCs w:val="20"/>
              </w:rPr>
              <w:t>03</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46206AEC" w14:textId="77777777" w:rsidR="00156230" w:rsidRPr="00CB0716" w:rsidRDefault="00156230" w:rsidP="00156230">
            <w:pPr>
              <w:rPr>
                <w:rFonts w:cs="Arial"/>
                <w:sz w:val="20"/>
                <w:szCs w:val="20"/>
              </w:rPr>
            </w:pPr>
            <w:r w:rsidRPr="00CB0716">
              <w:rPr>
                <w:rFonts w:cs="Arial"/>
                <w:sz w:val="20"/>
                <w:szCs w:val="20"/>
              </w:rPr>
              <w:t>Understanding Public Return on Investment for Transportation Funding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64B2C749" w14:textId="50C89120"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39941669" w14:textId="1A8032EB"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45,000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012C7A4A" w14:textId="317E581D"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45,00</w:t>
            </w:r>
            <w:r w:rsidRPr="00CB0716">
              <w:rPr>
                <w:rFonts w:cs="Arial"/>
                <w:sz w:val="20"/>
                <w:szCs w:val="20"/>
              </w:rPr>
              <w:t>0</w:t>
            </w:r>
          </w:p>
        </w:tc>
      </w:tr>
      <w:tr w:rsidR="00156230" w:rsidRPr="00CB0716" w14:paraId="3759AFB2" w14:textId="77777777" w:rsidTr="00156230">
        <w:trPr>
          <w:trHeight w:val="450"/>
          <w:jc w:val="center"/>
        </w:trPr>
        <w:tc>
          <w:tcPr>
            <w:tcW w:w="995" w:type="dxa"/>
            <w:tcBorders>
              <w:top w:val="single" w:sz="4" w:space="0" w:color="auto"/>
              <w:left w:val="double" w:sz="4" w:space="0" w:color="auto"/>
              <w:right w:val="single" w:sz="4" w:space="0" w:color="auto"/>
            </w:tcBorders>
            <w:shd w:val="clear" w:color="auto" w:fill="auto"/>
            <w:noWrap/>
            <w:vAlign w:val="center"/>
          </w:tcPr>
          <w:p w14:paraId="3FC1E93D" w14:textId="6199E227" w:rsidR="00156230" w:rsidRPr="00CB0716" w:rsidRDefault="00156230" w:rsidP="00156230">
            <w:pPr>
              <w:jc w:val="center"/>
              <w:rPr>
                <w:rFonts w:cs="Arial"/>
                <w:sz w:val="20"/>
                <w:szCs w:val="20"/>
              </w:rPr>
            </w:pPr>
            <w:r w:rsidRPr="00CB0716">
              <w:rPr>
                <w:rFonts w:cs="Arial"/>
                <w:sz w:val="20"/>
                <w:szCs w:val="20"/>
              </w:rPr>
              <w:t>4.0</w:t>
            </w:r>
            <w:r>
              <w:rPr>
                <w:rFonts w:cs="Arial"/>
                <w:sz w:val="20"/>
                <w:szCs w:val="20"/>
              </w:rPr>
              <w:t>4</w:t>
            </w:r>
          </w:p>
        </w:tc>
        <w:tc>
          <w:tcPr>
            <w:tcW w:w="4480" w:type="dxa"/>
            <w:tcBorders>
              <w:top w:val="single" w:sz="4" w:space="0" w:color="auto"/>
              <w:left w:val="nil"/>
              <w:right w:val="single" w:sz="4" w:space="0" w:color="auto"/>
            </w:tcBorders>
            <w:shd w:val="clear" w:color="auto" w:fill="auto"/>
            <w:noWrap/>
            <w:vAlign w:val="center"/>
          </w:tcPr>
          <w:p w14:paraId="0D1D957A" w14:textId="77777777" w:rsidR="00156230" w:rsidRPr="00CB0716" w:rsidRDefault="00156230" w:rsidP="00156230">
            <w:pPr>
              <w:rPr>
                <w:rFonts w:cs="Arial"/>
                <w:sz w:val="20"/>
                <w:szCs w:val="20"/>
              </w:rPr>
            </w:pPr>
            <w:r w:rsidRPr="00CB0716">
              <w:rPr>
                <w:rFonts w:cs="Arial"/>
                <w:sz w:val="20"/>
                <w:szCs w:val="20"/>
              </w:rPr>
              <w:t>Regional Passenger Rail Planning and Evaluation Process Development</w:t>
            </w:r>
          </w:p>
        </w:tc>
        <w:tc>
          <w:tcPr>
            <w:tcW w:w="1329" w:type="dxa"/>
            <w:tcBorders>
              <w:top w:val="single" w:sz="4" w:space="0" w:color="auto"/>
              <w:left w:val="nil"/>
              <w:right w:val="single" w:sz="4" w:space="0" w:color="auto"/>
            </w:tcBorders>
            <w:shd w:val="clear" w:color="auto" w:fill="auto"/>
            <w:noWrap/>
            <w:vAlign w:val="center"/>
          </w:tcPr>
          <w:p w14:paraId="42FC300E" w14:textId="4038BDA2"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0</w:t>
            </w:r>
          </w:p>
        </w:tc>
        <w:tc>
          <w:tcPr>
            <w:tcW w:w="1329" w:type="dxa"/>
            <w:gridSpan w:val="2"/>
            <w:tcBorders>
              <w:top w:val="single" w:sz="4" w:space="0" w:color="auto"/>
              <w:left w:val="nil"/>
              <w:right w:val="single" w:sz="4" w:space="0" w:color="auto"/>
            </w:tcBorders>
            <w:shd w:val="clear" w:color="auto" w:fill="auto"/>
            <w:noWrap/>
            <w:vAlign w:val="center"/>
          </w:tcPr>
          <w:p w14:paraId="5FCC4E8B" w14:textId="5D40F3B4"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0</w:t>
            </w:r>
          </w:p>
        </w:tc>
        <w:tc>
          <w:tcPr>
            <w:tcW w:w="1222" w:type="dxa"/>
            <w:tcBorders>
              <w:top w:val="single" w:sz="4" w:space="0" w:color="auto"/>
              <w:left w:val="nil"/>
              <w:right w:val="double" w:sz="4" w:space="0" w:color="auto"/>
            </w:tcBorders>
            <w:shd w:val="clear" w:color="auto" w:fill="auto"/>
            <w:noWrap/>
            <w:vAlign w:val="center"/>
          </w:tcPr>
          <w:p w14:paraId="3BEE12F2" w14:textId="5CD2EC9E" w:rsidR="00156230" w:rsidRPr="00CB0716" w:rsidRDefault="00156230" w:rsidP="00156230">
            <w:pPr>
              <w:jc w:val="right"/>
              <w:rPr>
                <w:rFonts w:cs="Arial"/>
                <w:sz w:val="20"/>
                <w:szCs w:val="20"/>
              </w:rPr>
            </w:pPr>
            <w:r w:rsidRPr="00CB0716">
              <w:rPr>
                <w:rFonts w:cs="Arial"/>
                <w:sz w:val="20"/>
                <w:szCs w:val="20"/>
              </w:rPr>
              <w:t>$0</w:t>
            </w:r>
          </w:p>
        </w:tc>
      </w:tr>
      <w:tr w:rsidR="00156230" w:rsidRPr="00CB0716" w14:paraId="6D0D1929"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000000" w:fill="F2F2F2"/>
            <w:noWrap/>
            <w:vAlign w:val="center"/>
            <w:hideMark/>
          </w:tcPr>
          <w:p w14:paraId="06B61B15" w14:textId="77777777" w:rsidR="00156230" w:rsidRPr="00CB0716" w:rsidRDefault="00156230" w:rsidP="00156230">
            <w:pPr>
              <w:jc w:val="center"/>
              <w:rPr>
                <w:rFonts w:cs="Arial"/>
                <w:sz w:val="20"/>
                <w:szCs w:val="20"/>
              </w:rPr>
            </w:pPr>
          </w:p>
          <w:p w14:paraId="133998D3" w14:textId="77777777" w:rsidR="00156230" w:rsidRPr="00CB0716" w:rsidRDefault="00156230" w:rsidP="00156230">
            <w:pPr>
              <w:jc w:val="center"/>
              <w:rPr>
                <w:rFonts w:cs="Arial"/>
                <w:sz w:val="20"/>
                <w:szCs w:val="20"/>
              </w:rPr>
            </w:pPr>
          </w:p>
        </w:tc>
        <w:tc>
          <w:tcPr>
            <w:tcW w:w="4480" w:type="dxa"/>
            <w:tcBorders>
              <w:top w:val="single" w:sz="4" w:space="0" w:color="auto"/>
              <w:left w:val="nil"/>
              <w:bottom w:val="single" w:sz="4" w:space="0" w:color="auto"/>
              <w:right w:val="single" w:sz="4" w:space="0" w:color="auto"/>
            </w:tcBorders>
            <w:shd w:val="clear" w:color="000000" w:fill="F2F2F2"/>
            <w:noWrap/>
            <w:vAlign w:val="center"/>
            <w:hideMark/>
          </w:tcPr>
          <w:p w14:paraId="23A87FDD" w14:textId="77777777" w:rsidR="00156230" w:rsidRPr="00CB0716" w:rsidRDefault="00156230" w:rsidP="00156230">
            <w:pPr>
              <w:rPr>
                <w:rFonts w:cs="Arial"/>
                <w:b/>
                <w:bCs/>
                <w:sz w:val="20"/>
                <w:szCs w:val="20"/>
              </w:rPr>
            </w:pPr>
            <w:r w:rsidRPr="00CB0716">
              <w:rPr>
                <w:rFonts w:cs="Arial"/>
                <w:b/>
                <w:bCs/>
                <w:sz w:val="20"/>
                <w:szCs w:val="20"/>
              </w:rPr>
              <w:t>Subtask 4 – Metropolitan Transportation Plan</w:t>
            </w:r>
          </w:p>
        </w:tc>
        <w:tc>
          <w:tcPr>
            <w:tcW w:w="1329" w:type="dxa"/>
            <w:tcBorders>
              <w:top w:val="single" w:sz="4" w:space="0" w:color="auto"/>
              <w:left w:val="nil"/>
              <w:bottom w:val="single" w:sz="4" w:space="0" w:color="auto"/>
              <w:right w:val="single" w:sz="4" w:space="0" w:color="auto"/>
            </w:tcBorders>
            <w:shd w:val="clear" w:color="000000" w:fill="F2F2F2"/>
            <w:noWrap/>
            <w:vAlign w:val="center"/>
          </w:tcPr>
          <w:p w14:paraId="123E1762" w14:textId="1677C662" w:rsidR="00156230" w:rsidRPr="00CB0716" w:rsidRDefault="00156230" w:rsidP="00156230">
            <w:pPr>
              <w:jc w:val="right"/>
              <w:rPr>
                <w:rFonts w:cs="Arial"/>
                <w:b/>
                <w:bCs/>
                <w:sz w:val="20"/>
                <w:szCs w:val="20"/>
              </w:rPr>
            </w:pPr>
            <w:r w:rsidRPr="00CB0716">
              <w:rPr>
                <w:rFonts w:cs="Arial"/>
                <w:b/>
                <w:bCs/>
                <w:sz w:val="20"/>
                <w:szCs w:val="20"/>
              </w:rPr>
              <w:fldChar w:fldCharType="begin"/>
            </w:r>
            <w:r w:rsidRPr="00CB0716">
              <w:rPr>
                <w:rFonts w:cs="Arial"/>
                <w:b/>
                <w:bCs/>
                <w:sz w:val="20"/>
                <w:szCs w:val="20"/>
              </w:rPr>
              <w:instrText xml:space="preserve"> =SUM(ABOVE) </w:instrText>
            </w:r>
            <w:r w:rsidRPr="00CB0716">
              <w:rPr>
                <w:rFonts w:cs="Arial"/>
                <w:b/>
                <w:bCs/>
                <w:sz w:val="20"/>
                <w:szCs w:val="20"/>
              </w:rPr>
              <w:fldChar w:fldCharType="separate"/>
            </w:r>
            <w:r w:rsidRPr="00CB0716">
              <w:rPr>
                <w:rFonts w:cs="Arial"/>
                <w:b/>
                <w:bCs/>
                <w:noProof/>
                <w:sz w:val="20"/>
                <w:szCs w:val="20"/>
              </w:rPr>
              <w:t>$</w:t>
            </w:r>
            <w:r>
              <w:rPr>
                <w:rFonts w:cs="Arial"/>
                <w:b/>
                <w:bCs/>
                <w:noProof/>
                <w:sz w:val="20"/>
                <w:szCs w:val="20"/>
              </w:rPr>
              <w:t>2,076,000</w:t>
            </w:r>
            <w:r w:rsidRPr="00CB0716">
              <w:rPr>
                <w:rFonts w:cs="Arial"/>
                <w:b/>
                <w:bCs/>
                <w:sz w:val="20"/>
                <w:szCs w:val="20"/>
              </w:rPr>
              <w:fldChar w:fldCharType="end"/>
            </w:r>
          </w:p>
        </w:tc>
        <w:tc>
          <w:tcPr>
            <w:tcW w:w="1329" w:type="dxa"/>
            <w:gridSpan w:val="2"/>
            <w:tcBorders>
              <w:top w:val="single" w:sz="4" w:space="0" w:color="auto"/>
              <w:left w:val="nil"/>
              <w:bottom w:val="single" w:sz="4" w:space="0" w:color="auto"/>
              <w:right w:val="single" w:sz="4" w:space="0" w:color="auto"/>
            </w:tcBorders>
            <w:shd w:val="clear" w:color="000000" w:fill="F2F2F2"/>
            <w:noWrap/>
            <w:vAlign w:val="center"/>
          </w:tcPr>
          <w:p w14:paraId="7313B2C3" w14:textId="7C6EDB24" w:rsidR="00156230" w:rsidRPr="00CB0716" w:rsidRDefault="00156230" w:rsidP="00156230">
            <w:pPr>
              <w:jc w:val="right"/>
              <w:rPr>
                <w:rFonts w:cs="Arial"/>
                <w:b/>
                <w:bCs/>
                <w:sz w:val="20"/>
                <w:szCs w:val="20"/>
              </w:rPr>
            </w:pPr>
            <w:r w:rsidRPr="00CB0716">
              <w:rPr>
                <w:rFonts w:cs="Arial"/>
                <w:b/>
                <w:bCs/>
                <w:sz w:val="20"/>
                <w:szCs w:val="20"/>
              </w:rPr>
              <w:t>$</w:t>
            </w:r>
            <w:r>
              <w:rPr>
                <w:rFonts w:cs="Arial"/>
                <w:b/>
                <w:bCs/>
                <w:sz w:val="20"/>
                <w:szCs w:val="20"/>
              </w:rPr>
              <w:t>2,087,000</w:t>
            </w:r>
          </w:p>
        </w:tc>
        <w:tc>
          <w:tcPr>
            <w:tcW w:w="1222" w:type="dxa"/>
            <w:tcBorders>
              <w:top w:val="single" w:sz="4" w:space="0" w:color="auto"/>
              <w:left w:val="nil"/>
              <w:bottom w:val="single" w:sz="4" w:space="0" w:color="auto"/>
              <w:right w:val="double" w:sz="4" w:space="0" w:color="auto"/>
            </w:tcBorders>
            <w:shd w:val="clear" w:color="000000" w:fill="F2F2F2"/>
            <w:noWrap/>
            <w:vAlign w:val="center"/>
          </w:tcPr>
          <w:p w14:paraId="55BDCA77" w14:textId="672B3661" w:rsidR="00156230" w:rsidRPr="00CB0716" w:rsidRDefault="00156230" w:rsidP="00156230">
            <w:pPr>
              <w:jc w:val="right"/>
              <w:rPr>
                <w:rFonts w:cs="Arial"/>
                <w:b/>
                <w:bCs/>
                <w:sz w:val="20"/>
                <w:szCs w:val="20"/>
              </w:rPr>
            </w:pPr>
            <w:r w:rsidRPr="00CB0716">
              <w:rPr>
                <w:rFonts w:cs="Arial"/>
                <w:b/>
                <w:bCs/>
                <w:sz w:val="20"/>
                <w:szCs w:val="20"/>
              </w:rPr>
              <w:t>$</w:t>
            </w:r>
            <w:r>
              <w:rPr>
                <w:rFonts w:cs="Arial"/>
                <w:b/>
                <w:bCs/>
                <w:sz w:val="20"/>
                <w:szCs w:val="20"/>
              </w:rPr>
              <w:t>11,000</w:t>
            </w:r>
          </w:p>
        </w:tc>
      </w:tr>
      <w:tr w:rsidR="00156230" w:rsidRPr="00CB0716" w14:paraId="2057F25F"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A8B233F" w14:textId="77777777" w:rsidR="00156230" w:rsidRPr="00CB0716" w:rsidRDefault="00156230" w:rsidP="00156230">
            <w:pPr>
              <w:jc w:val="center"/>
              <w:rPr>
                <w:rFonts w:cs="Arial"/>
                <w:sz w:val="20"/>
                <w:szCs w:val="20"/>
              </w:rPr>
            </w:pPr>
            <w:r w:rsidRPr="00CB0716">
              <w:rPr>
                <w:rFonts w:cs="Arial"/>
                <w:sz w:val="20"/>
                <w:szCs w:val="20"/>
              </w:rPr>
              <w:t>5.01</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36D3EA59" w14:textId="77777777" w:rsidR="00156230" w:rsidRPr="00CB0716" w:rsidRDefault="00156230" w:rsidP="00156230">
            <w:pPr>
              <w:rPr>
                <w:rFonts w:cs="Arial"/>
                <w:b/>
                <w:bCs/>
                <w:sz w:val="20"/>
                <w:szCs w:val="20"/>
              </w:rPr>
            </w:pPr>
            <w:r w:rsidRPr="00CB0716">
              <w:rPr>
                <w:rFonts w:cs="Arial"/>
                <w:sz w:val="20"/>
                <w:szCs w:val="20"/>
              </w:rPr>
              <w:t>Regional Transportation Studies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3697" w14:textId="1A35CA8D"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813,000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6D852C06" w14:textId="77B1CC51" w:rsidR="00156230" w:rsidRPr="00CB0716" w:rsidRDefault="00156230" w:rsidP="00156230">
            <w:pPr>
              <w:jc w:val="right"/>
              <w:rPr>
                <w:rFonts w:cs="Arial"/>
                <w:sz w:val="20"/>
                <w:szCs w:val="20"/>
              </w:rPr>
            </w:pPr>
            <w:r w:rsidRPr="00CB0716">
              <w:rPr>
                <w:rFonts w:cs="Arial"/>
                <w:sz w:val="20"/>
                <w:szCs w:val="20"/>
              </w:rPr>
              <w:t>$1,</w:t>
            </w:r>
            <w:r>
              <w:rPr>
                <w:rFonts w:cs="Arial"/>
                <w:sz w:val="20"/>
                <w:szCs w:val="20"/>
              </w:rPr>
              <w:t>141,000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28F6D50C" w14:textId="1D42B83E"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328</w:t>
            </w:r>
            <w:r w:rsidRPr="00CB0716">
              <w:rPr>
                <w:rFonts w:cs="Arial"/>
                <w:sz w:val="20"/>
                <w:szCs w:val="20"/>
              </w:rPr>
              <w:t>,000</w:t>
            </w:r>
          </w:p>
        </w:tc>
      </w:tr>
      <w:tr w:rsidR="00156230" w:rsidRPr="00CB0716" w14:paraId="133E6129"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8F9E526" w14:textId="77777777" w:rsidR="00156230" w:rsidRPr="00CB0716" w:rsidRDefault="00156230" w:rsidP="00156230">
            <w:pPr>
              <w:jc w:val="center"/>
              <w:rPr>
                <w:rFonts w:cs="Arial"/>
                <w:sz w:val="20"/>
                <w:szCs w:val="20"/>
              </w:rPr>
            </w:pPr>
            <w:r w:rsidRPr="00CB0716">
              <w:rPr>
                <w:rFonts w:cs="Arial"/>
                <w:sz w:val="20"/>
                <w:szCs w:val="20"/>
              </w:rPr>
              <w:t>5.02</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55D8DD50" w14:textId="77777777" w:rsidR="00156230" w:rsidRPr="00CB0716" w:rsidRDefault="00156230" w:rsidP="00156230">
            <w:pPr>
              <w:rPr>
                <w:rFonts w:cs="Arial"/>
                <w:b/>
                <w:bCs/>
                <w:sz w:val="20"/>
                <w:szCs w:val="20"/>
              </w:rPr>
            </w:pPr>
            <w:r w:rsidRPr="00CB0716">
              <w:rPr>
                <w:rFonts w:cs="Arial"/>
                <w:sz w:val="20"/>
                <w:szCs w:val="20"/>
              </w:rPr>
              <w:t>Subarea Studies and Local Government Assistance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F1F39" w14:textId="38941050" w:rsidR="00156230" w:rsidRPr="00CB0716" w:rsidRDefault="00156230" w:rsidP="00156230">
            <w:pPr>
              <w:jc w:val="right"/>
              <w:rPr>
                <w:rFonts w:cs="Arial"/>
                <w:bCs/>
                <w:sz w:val="20"/>
                <w:szCs w:val="20"/>
              </w:rPr>
            </w:pPr>
            <w:r w:rsidRPr="00CB0716">
              <w:rPr>
                <w:rFonts w:cs="Arial"/>
                <w:bCs/>
                <w:sz w:val="20"/>
                <w:szCs w:val="20"/>
              </w:rPr>
              <w:t>$</w:t>
            </w:r>
            <w:r>
              <w:rPr>
                <w:rFonts w:cs="Arial"/>
                <w:bCs/>
                <w:sz w:val="20"/>
                <w:szCs w:val="20"/>
              </w:rPr>
              <w:t>736,000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084DD3C2" w14:textId="70EAB2BE" w:rsidR="00156230" w:rsidRPr="00CB0716" w:rsidRDefault="00156230" w:rsidP="00156230">
            <w:pPr>
              <w:jc w:val="right"/>
              <w:rPr>
                <w:rFonts w:cs="Arial"/>
                <w:bCs/>
                <w:sz w:val="20"/>
                <w:szCs w:val="20"/>
              </w:rPr>
            </w:pPr>
            <w:r w:rsidRPr="00CB0716">
              <w:rPr>
                <w:rFonts w:cs="Arial"/>
                <w:bCs/>
                <w:sz w:val="20"/>
                <w:szCs w:val="20"/>
              </w:rPr>
              <w:t>$</w:t>
            </w:r>
            <w:r>
              <w:rPr>
                <w:rFonts w:cs="Arial"/>
                <w:bCs/>
                <w:sz w:val="20"/>
                <w:szCs w:val="20"/>
              </w:rPr>
              <w:t>725,000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2CC16B4E" w14:textId="2CB9AC78" w:rsidR="00156230" w:rsidRPr="00CB0716" w:rsidRDefault="00156230" w:rsidP="00156230">
            <w:pPr>
              <w:jc w:val="right"/>
              <w:rPr>
                <w:rFonts w:cs="Arial"/>
                <w:bCs/>
                <w:sz w:val="20"/>
                <w:szCs w:val="20"/>
              </w:rPr>
            </w:pPr>
            <w:r w:rsidRPr="007644E6">
              <w:rPr>
                <w:rFonts w:cs="Arial"/>
                <w:bCs/>
                <w:color w:val="FF0000"/>
                <w:sz w:val="20"/>
                <w:szCs w:val="20"/>
              </w:rPr>
              <w:t>($11,000)</w:t>
            </w:r>
          </w:p>
        </w:tc>
      </w:tr>
      <w:tr w:rsidR="00156230" w:rsidRPr="00CB0716" w14:paraId="51148D1D"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B2222DB" w14:textId="77777777" w:rsidR="00156230" w:rsidRPr="00CB0716" w:rsidRDefault="00156230" w:rsidP="00156230">
            <w:pPr>
              <w:jc w:val="center"/>
              <w:rPr>
                <w:rFonts w:cs="Arial"/>
                <w:sz w:val="20"/>
                <w:szCs w:val="20"/>
              </w:rPr>
            </w:pPr>
            <w:r w:rsidRPr="00CB0716">
              <w:rPr>
                <w:rFonts w:cs="Arial"/>
                <w:sz w:val="20"/>
                <w:szCs w:val="20"/>
              </w:rPr>
              <w:t>5.03</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47A017E8" w14:textId="77777777" w:rsidR="00156230" w:rsidRPr="00CB0716" w:rsidRDefault="00156230" w:rsidP="00156230">
            <w:pPr>
              <w:rPr>
                <w:rFonts w:cs="Arial"/>
                <w:b/>
                <w:bCs/>
                <w:sz w:val="20"/>
                <w:szCs w:val="20"/>
              </w:rPr>
            </w:pPr>
            <w:r w:rsidRPr="00CB0716">
              <w:rPr>
                <w:rFonts w:cs="Arial"/>
                <w:sz w:val="20"/>
                <w:szCs w:val="20"/>
              </w:rPr>
              <w:t>Land-Use/Transportation Initiatives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1EBC8" w14:textId="7363F61F" w:rsidR="00156230" w:rsidRPr="00CB0716" w:rsidRDefault="00156230" w:rsidP="00156230">
            <w:pPr>
              <w:jc w:val="right"/>
              <w:rPr>
                <w:rFonts w:cs="Arial"/>
                <w:bCs/>
                <w:sz w:val="20"/>
                <w:szCs w:val="20"/>
              </w:rPr>
            </w:pPr>
            <w:r w:rsidRPr="00CB0716">
              <w:rPr>
                <w:rFonts w:cs="Arial"/>
                <w:bCs/>
                <w:sz w:val="20"/>
                <w:szCs w:val="20"/>
              </w:rPr>
              <w:t>$</w:t>
            </w:r>
            <w:r>
              <w:rPr>
                <w:rFonts w:cs="Arial"/>
                <w:bCs/>
                <w:sz w:val="20"/>
                <w:szCs w:val="20"/>
              </w:rPr>
              <w:t>241,694</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217F42F5" w14:textId="184409F7" w:rsidR="00156230" w:rsidRPr="008812B9" w:rsidRDefault="00156230" w:rsidP="00156230">
            <w:pPr>
              <w:jc w:val="right"/>
              <w:rPr>
                <w:rFonts w:cs="Arial"/>
                <w:bCs/>
                <w:sz w:val="20"/>
                <w:szCs w:val="20"/>
              </w:rPr>
            </w:pPr>
            <w:r w:rsidRPr="008812B9">
              <w:rPr>
                <w:rFonts w:cs="Arial"/>
                <w:bCs/>
                <w:sz w:val="20"/>
                <w:szCs w:val="20"/>
              </w:rPr>
              <w:t>$</w:t>
            </w:r>
            <w:r>
              <w:rPr>
                <w:rFonts w:cs="Arial"/>
                <w:bCs/>
                <w:sz w:val="20"/>
                <w:szCs w:val="20"/>
              </w:rPr>
              <w:t>556,694</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2A3868AD" w14:textId="1D005EC3" w:rsidR="00156230" w:rsidRPr="008812B9" w:rsidRDefault="00156230" w:rsidP="00156230">
            <w:pPr>
              <w:jc w:val="right"/>
              <w:rPr>
                <w:rFonts w:cs="Arial"/>
                <w:bCs/>
                <w:sz w:val="20"/>
                <w:szCs w:val="20"/>
              </w:rPr>
            </w:pPr>
            <w:r w:rsidRPr="008812B9">
              <w:rPr>
                <w:rFonts w:cs="Arial"/>
                <w:bCs/>
                <w:sz w:val="20"/>
                <w:szCs w:val="20"/>
              </w:rPr>
              <w:t>$</w:t>
            </w:r>
            <w:r>
              <w:rPr>
                <w:rFonts w:cs="Arial"/>
                <w:bCs/>
                <w:sz w:val="20"/>
                <w:szCs w:val="20"/>
              </w:rPr>
              <w:t>315,000</w:t>
            </w:r>
          </w:p>
        </w:tc>
      </w:tr>
      <w:tr w:rsidR="00156230" w:rsidRPr="00CB0716" w14:paraId="13803431"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C766A54" w14:textId="77777777" w:rsidR="00156230" w:rsidRPr="00CB0716" w:rsidRDefault="00156230" w:rsidP="00156230">
            <w:pPr>
              <w:jc w:val="center"/>
              <w:rPr>
                <w:rFonts w:cs="Arial"/>
                <w:sz w:val="20"/>
                <w:szCs w:val="20"/>
              </w:rPr>
            </w:pPr>
            <w:r w:rsidRPr="00CB0716">
              <w:rPr>
                <w:rFonts w:cs="Arial"/>
                <w:sz w:val="20"/>
                <w:szCs w:val="20"/>
              </w:rPr>
              <w:t>5.04</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05D9D55C" w14:textId="77777777" w:rsidR="00156230" w:rsidRPr="00CB0716" w:rsidRDefault="00156230" w:rsidP="00156230">
            <w:pPr>
              <w:rPr>
                <w:rFonts w:cs="Arial"/>
                <w:b/>
                <w:bCs/>
                <w:sz w:val="20"/>
                <w:szCs w:val="20"/>
              </w:rPr>
            </w:pPr>
            <w:r w:rsidRPr="00CB0716">
              <w:rPr>
                <w:rFonts w:cs="Arial"/>
                <w:sz w:val="20"/>
                <w:szCs w:val="20"/>
              </w:rPr>
              <w:t>Transportation Asset Management</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10DAF0C8" w14:textId="55ADEC00" w:rsidR="00156230" w:rsidRPr="00CB0716" w:rsidRDefault="00156230" w:rsidP="00156230">
            <w:pPr>
              <w:jc w:val="right"/>
              <w:rPr>
                <w:rFonts w:cs="Arial"/>
                <w:bCs/>
                <w:sz w:val="20"/>
                <w:szCs w:val="20"/>
              </w:rPr>
            </w:pPr>
            <w:r w:rsidRPr="00CB0716">
              <w:rPr>
                <w:rFonts w:cs="Arial"/>
                <w:bCs/>
                <w:sz w:val="20"/>
                <w:szCs w:val="20"/>
              </w:rPr>
              <w:t>$</w:t>
            </w:r>
            <w:r>
              <w:rPr>
                <w:rFonts w:cs="Arial"/>
                <w:bCs/>
                <w:sz w:val="20"/>
                <w:szCs w:val="20"/>
              </w:rPr>
              <w:t>87,000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3A53F1A3" w14:textId="389E4797"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87,000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4169D0E8" w14:textId="2D3E751A" w:rsidR="00156230" w:rsidRPr="008812B9" w:rsidRDefault="00156230" w:rsidP="00156230">
            <w:pPr>
              <w:jc w:val="right"/>
              <w:rPr>
                <w:rFonts w:cs="Arial"/>
                <w:bCs/>
                <w:sz w:val="20"/>
                <w:szCs w:val="20"/>
              </w:rPr>
            </w:pPr>
            <w:r w:rsidRPr="008812B9">
              <w:rPr>
                <w:rFonts w:cs="Arial"/>
                <w:bCs/>
                <w:sz w:val="20"/>
                <w:szCs w:val="20"/>
              </w:rPr>
              <w:t>$0</w:t>
            </w:r>
          </w:p>
        </w:tc>
      </w:tr>
      <w:tr w:rsidR="00156230" w:rsidRPr="00CB0716" w14:paraId="547C85DC"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385F0275" w14:textId="77777777" w:rsidR="00156230" w:rsidRPr="00CB0716" w:rsidRDefault="00156230" w:rsidP="00156230">
            <w:pPr>
              <w:jc w:val="center"/>
              <w:rPr>
                <w:rFonts w:cs="Arial"/>
                <w:sz w:val="20"/>
                <w:szCs w:val="20"/>
              </w:rPr>
            </w:pPr>
            <w:r w:rsidRPr="00CB0716">
              <w:rPr>
                <w:rFonts w:cs="Arial"/>
                <w:sz w:val="20"/>
                <w:szCs w:val="20"/>
              </w:rPr>
              <w:t>5.05</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5483E84C" w14:textId="4163F206" w:rsidR="00156230" w:rsidRDefault="00156230" w:rsidP="00156230">
            <w:pPr>
              <w:rPr>
                <w:rFonts w:cs="Arial"/>
                <w:sz w:val="20"/>
                <w:szCs w:val="20"/>
              </w:rPr>
            </w:pPr>
            <w:r>
              <w:rPr>
                <w:rFonts w:cs="Arial"/>
                <w:sz w:val="20"/>
                <w:szCs w:val="20"/>
              </w:rPr>
              <w:t>Transportation System Security and</w:t>
            </w:r>
          </w:p>
          <w:p w14:paraId="2FEE275C" w14:textId="5C764C8F" w:rsidR="00156230" w:rsidRPr="00CB0716" w:rsidRDefault="00156230" w:rsidP="00156230">
            <w:pPr>
              <w:rPr>
                <w:rFonts w:cs="Arial"/>
                <w:b/>
                <w:bCs/>
                <w:sz w:val="20"/>
                <w:szCs w:val="20"/>
              </w:rPr>
            </w:pPr>
            <w:r>
              <w:rPr>
                <w:rFonts w:cs="Arial"/>
                <w:sz w:val="20"/>
                <w:szCs w:val="20"/>
              </w:rPr>
              <w:t xml:space="preserve">Emergency Preparedness </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5E68BAA1" w14:textId="7BAFE7BE" w:rsidR="00156230" w:rsidRPr="00CB0716" w:rsidRDefault="00156230" w:rsidP="00156230">
            <w:pPr>
              <w:jc w:val="right"/>
              <w:rPr>
                <w:rFonts w:cs="Arial"/>
                <w:bCs/>
                <w:sz w:val="20"/>
                <w:szCs w:val="20"/>
              </w:rPr>
            </w:pPr>
            <w:r w:rsidRPr="00CB0716">
              <w:rPr>
                <w:rFonts w:cs="Arial"/>
                <w:sz w:val="20"/>
                <w:szCs w:val="20"/>
              </w:rPr>
              <w:t>$</w:t>
            </w:r>
            <w:r>
              <w:rPr>
                <w:rFonts w:cs="Arial"/>
                <w:sz w:val="20"/>
                <w:szCs w:val="20"/>
              </w:rPr>
              <w:t>32,000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72CC93E4" w14:textId="3BB01045"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32,000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2D529721" w14:textId="10CF7D90" w:rsidR="00156230" w:rsidRPr="008812B9" w:rsidRDefault="00156230" w:rsidP="00156230">
            <w:pPr>
              <w:jc w:val="right"/>
              <w:rPr>
                <w:rFonts w:cs="Arial"/>
                <w:bCs/>
                <w:sz w:val="20"/>
                <w:szCs w:val="20"/>
              </w:rPr>
            </w:pPr>
            <w:r w:rsidRPr="008812B9">
              <w:rPr>
                <w:rFonts w:cs="Arial"/>
                <w:sz w:val="20"/>
                <w:szCs w:val="20"/>
              </w:rPr>
              <w:t>$0</w:t>
            </w:r>
          </w:p>
        </w:tc>
      </w:tr>
      <w:tr w:rsidR="00156230" w:rsidRPr="00CB0716" w14:paraId="44054EFD"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8281D97" w14:textId="77777777" w:rsidR="00156230" w:rsidRPr="00CB0716" w:rsidRDefault="00156230" w:rsidP="00156230">
            <w:pPr>
              <w:jc w:val="center"/>
              <w:rPr>
                <w:rFonts w:cs="Arial"/>
                <w:sz w:val="20"/>
                <w:szCs w:val="20"/>
              </w:rPr>
            </w:pPr>
            <w:r w:rsidRPr="00CB0716">
              <w:rPr>
                <w:rFonts w:cs="Arial"/>
                <w:sz w:val="20"/>
                <w:szCs w:val="20"/>
              </w:rPr>
              <w:t>5.06</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46040D6F" w14:textId="77777777" w:rsidR="00156230" w:rsidRPr="00CB0716" w:rsidRDefault="00156230" w:rsidP="00156230">
            <w:pPr>
              <w:rPr>
                <w:rFonts w:cs="Arial"/>
                <w:b/>
                <w:bCs/>
                <w:sz w:val="20"/>
                <w:szCs w:val="20"/>
              </w:rPr>
            </w:pPr>
            <w:r w:rsidRPr="00CB0716">
              <w:rPr>
                <w:rFonts w:cs="Arial"/>
                <w:sz w:val="20"/>
                <w:szCs w:val="20"/>
              </w:rPr>
              <w:t>Regional Freight Planning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24844487" w14:textId="27892C48" w:rsidR="00156230" w:rsidRPr="00CB0716" w:rsidRDefault="00156230" w:rsidP="00156230">
            <w:pPr>
              <w:jc w:val="right"/>
              <w:rPr>
                <w:rFonts w:cs="Arial"/>
                <w:bCs/>
                <w:sz w:val="20"/>
                <w:szCs w:val="20"/>
              </w:rPr>
            </w:pPr>
            <w:r w:rsidRPr="00CB0716">
              <w:rPr>
                <w:rFonts w:cs="Arial"/>
                <w:sz w:val="20"/>
                <w:szCs w:val="20"/>
              </w:rPr>
              <w:t>$</w:t>
            </w:r>
            <w:r>
              <w:rPr>
                <w:rFonts w:cs="Arial"/>
                <w:sz w:val="20"/>
                <w:szCs w:val="20"/>
              </w:rPr>
              <w:t>149,000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0145A36C" w14:textId="64637D06"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30,00</w:t>
            </w:r>
            <w:r w:rsidRPr="008812B9">
              <w:rPr>
                <w:rFonts w:cs="Arial"/>
                <w:sz w:val="20"/>
                <w:szCs w:val="20"/>
              </w:rPr>
              <w:t>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679B186F" w14:textId="693281A5" w:rsidR="00156230" w:rsidRPr="007644E6" w:rsidRDefault="00156230" w:rsidP="00156230">
            <w:pPr>
              <w:jc w:val="right"/>
              <w:rPr>
                <w:rFonts w:cs="Arial"/>
                <w:bCs/>
                <w:color w:val="FF0000"/>
                <w:sz w:val="20"/>
                <w:szCs w:val="20"/>
              </w:rPr>
            </w:pPr>
            <w:r w:rsidRPr="007644E6">
              <w:rPr>
                <w:rFonts w:cs="Arial"/>
                <w:color w:val="FF0000"/>
                <w:sz w:val="20"/>
                <w:szCs w:val="20"/>
              </w:rPr>
              <w:t>($119,000)</w:t>
            </w:r>
          </w:p>
        </w:tc>
      </w:tr>
      <w:tr w:rsidR="00156230" w:rsidRPr="00CB0716" w14:paraId="00ABF455"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AB41E19" w14:textId="77777777" w:rsidR="00156230" w:rsidRPr="00CB0716" w:rsidRDefault="00156230" w:rsidP="00156230">
            <w:pPr>
              <w:jc w:val="center"/>
              <w:rPr>
                <w:rFonts w:cs="Arial"/>
                <w:sz w:val="20"/>
                <w:szCs w:val="20"/>
              </w:rPr>
            </w:pPr>
            <w:r w:rsidRPr="00CB0716">
              <w:rPr>
                <w:rFonts w:cs="Arial"/>
                <w:sz w:val="20"/>
                <w:szCs w:val="20"/>
              </w:rPr>
              <w:t>5.07</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0AF364ED" w14:textId="46A96A61" w:rsidR="00156230" w:rsidRPr="00CB0716" w:rsidRDefault="00156230" w:rsidP="00156230">
            <w:pPr>
              <w:rPr>
                <w:rFonts w:cs="Arial"/>
                <w:b/>
                <w:bCs/>
                <w:sz w:val="20"/>
                <w:szCs w:val="20"/>
              </w:rPr>
            </w:pPr>
            <w:r w:rsidRPr="00CB0716">
              <w:rPr>
                <w:rFonts w:cs="Arial"/>
                <w:sz w:val="20"/>
                <w:szCs w:val="20"/>
              </w:rPr>
              <w:t>Roadway and Railroad Safety</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36738248" w14:textId="07D3202A" w:rsidR="00156230" w:rsidRPr="00CB0716" w:rsidRDefault="00156230" w:rsidP="00156230">
            <w:pPr>
              <w:jc w:val="right"/>
              <w:rPr>
                <w:rFonts w:cs="Arial"/>
                <w:bCs/>
                <w:sz w:val="20"/>
                <w:szCs w:val="20"/>
              </w:rPr>
            </w:pPr>
            <w:r w:rsidRPr="00CB0716">
              <w:rPr>
                <w:rFonts w:cs="Arial"/>
                <w:sz w:val="20"/>
                <w:szCs w:val="20"/>
              </w:rPr>
              <w:t>$</w:t>
            </w:r>
            <w:r>
              <w:rPr>
                <w:rFonts w:cs="Arial"/>
                <w:sz w:val="20"/>
                <w:szCs w:val="20"/>
              </w:rPr>
              <w:t>336,000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0859E81D" w14:textId="5F6266A4"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310,000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7C2A5FD9" w14:textId="1ABA96D0" w:rsidR="00156230" w:rsidRPr="007644E6" w:rsidRDefault="00156230" w:rsidP="00156230">
            <w:pPr>
              <w:jc w:val="right"/>
              <w:rPr>
                <w:rFonts w:cs="Arial"/>
                <w:bCs/>
                <w:color w:val="FF0000"/>
                <w:sz w:val="20"/>
                <w:szCs w:val="20"/>
              </w:rPr>
            </w:pPr>
            <w:r w:rsidRPr="007644E6">
              <w:rPr>
                <w:rFonts w:cs="Arial"/>
                <w:color w:val="FF0000"/>
                <w:sz w:val="20"/>
                <w:szCs w:val="20"/>
              </w:rPr>
              <w:t>($26,000)</w:t>
            </w:r>
          </w:p>
        </w:tc>
      </w:tr>
      <w:tr w:rsidR="00156230" w:rsidRPr="00CB0716" w14:paraId="621EA786"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FC914F4" w14:textId="77777777" w:rsidR="00156230" w:rsidRPr="00CB0716" w:rsidRDefault="00156230" w:rsidP="00156230">
            <w:pPr>
              <w:jc w:val="center"/>
              <w:rPr>
                <w:rFonts w:cs="Arial"/>
                <w:sz w:val="20"/>
                <w:szCs w:val="20"/>
              </w:rPr>
            </w:pPr>
            <w:r w:rsidRPr="00CB0716">
              <w:rPr>
                <w:rFonts w:cs="Arial"/>
                <w:sz w:val="20"/>
                <w:szCs w:val="20"/>
              </w:rPr>
              <w:t>5.08</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4035B7B3" w14:textId="7A09BDB9" w:rsidR="00156230" w:rsidRPr="00CB0716" w:rsidRDefault="00156230" w:rsidP="00156230">
            <w:pPr>
              <w:rPr>
                <w:rFonts w:cs="Arial"/>
                <w:b/>
                <w:bCs/>
                <w:sz w:val="20"/>
                <w:szCs w:val="20"/>
              </w:rPr>
            </w:pPr>
            <w:r w:rsidRPr="00CB0716">
              <w:rPr>
                <w:rFonts w:cs="Arial"/>
                <w:sz w:val="20"/>
                <w:szCs w:val="20"/>
              </w:rPr>
              <w:t>Regional Aviation Planning and Education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67D511E9" w14:textId="2B011DD6" w:rsidR="00156230" w:rsidRPr="00CB0716" w:rsidRDefault="00156230" w:rsidP="00156230">
            <w:pPr>
              <w:jc w:val="right"/>
              <w:rPr>
                <w:rFonts w:cs="Arial"/>
                <w:bCs/>
                <w:sz w:val="20"/>
                <w:szCs w:val="20"/>
              </w:rPr>
            </w:pPr>
            <w:r w:rsidRPr="00CB0716">
              <w:rPr>
                <w:rFonts w:cs="Arial"/>
                <w:sz w:val="20"/>
                <w:szCs w:val="20"/>
              </w:rPr>
              <w:t>$</w:t>
            </w:r>
            <w:r>
              <w:rPr>
                <w:rFonts w:cs="Arial"/>
                <w:sz w:val="20"/>
                <w:szCs w:val="20"/>
              </w:rPr>
              <w:t>160,000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741D0736" w14:textId="5BA9BEBD"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167,000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18AA8E38" w14:textId="7AE42BA2" w:rsidR="00156230" w:rsidRPr="008812B9" w:rsidRDefault="00156230" w:rsidP="00156230">
            <w:pPr>
              <w:jc w:val="right"/>
              <w:rPr>
                <w:rFonts w:cs="Arial"/>
                <w:bCs/>
                <w:sz w:val="20"/>
                <w:szCs w:val="20"/>
              </w:rPr>
            </w:pPr>
            <w:r w:rsidRPr="008812B9">
              <w:rPr>
                <w:rFonts w:cs="Arial"/>
                <w:bCs/>
                <w:sz w:val="20"/>
                <w:szCs w:val="20"/>
              </w:rPr>
              <w:t>$</w:t>
            </w:r>
            <w:r>
              <w:rPr>
                <w:rFonts w:cs="Arial"/>
                <w:bCs/>
                <w:sz w:val="20"/>
                <w:szCs w:val="20"/>
              </w:rPr>
              <w:t>7,000</w:t>
            </w:r>
          </w:p>
        </w:tc>
      </w:tr>
      <w:tr w:rsidR="00156230" w:rsidRPr="00CB0716" w14:paraId="715794C7"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D0DADD3" w14:textId="77777777" w:rsidR="00156230" w:rsidRPr="00CB0716" w:rsidRDefault="00156230" w:rsidP="00156230">
            <w:pPr>
              <w:jc w:val="center"/>
              <w:rPr>
                <w:rFonts w:cs="Arial"/>
                <w:sz w:val="20"/>
                <w:szCs w:val="20"/>
              </w:rPr>
            </w:pPr>
            <w:r w:rsidRPr="00CB0716">
              <w:rPr>
                <w:rFonts w:cs="Arial"/>
                <w:sz w:val="20"/>
                <w:szCs w:val="20"/>
              </w:rPr>
              <w:t>5.09</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20D251F1" w14:textId="209972B0" w:rsidR="00156230" w:rsidRPr="00CB0716" w:rsidRDefault="00156230" w:rsidP="00156230">
            <w:pPr>
              <w:rPr>
                <w:rFonts w:cs="Arial"/>
                <w:b/>
                <w:bCs/>
                <w:sz w:val="20"/>
                <w:szCs w:val="20"/>
              </w:rPr>
            </w:pPr>
            <w:r w:rsidRPr="00CB0716">
              <w:rPr>
                <w:rFonts w:cs="Arial"/>
                <w:sz w:val="20"/>
                <w:szCs w:val="20"/>
              </w:rPr>
              <w:t>Regional Military and Community Coordination</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3F9E5FAB" w14:textId="5BBEA632" w:rsidR="00156230" w:rsidRPr="00CB0716" w:rsidRDefault="00156230" w:rsidP="00156230">
            <w:pPr>
              <w:jc w:val="right"/>
              <w:rPr>
                <w:rFonts w:cs="Arial"/>
                <w:bCs/>
                <w:sz w:val="20"/>
                <w:szCs w:val="20"/>
              </w:rPr>
            </w:pPr>
            <w:r w:rsidRPr="00265FCB">
              <w:rPr>
                <w:rFonts w:cs="Arial"/>
                <w:sz w:val="20"/>
                <w:szCs w:val="20"/>
              </w:rPr>
              <w:t>$</w:t>
            </w:r>
            <w:r>
              <w:rPr>
                <w:rFonts w:cs="Arial"/>
                <w:sz w:val="20"/>
                <w:szCs w:val="20"/>
              </w:rPr>
              <w:t>150,000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39C90A26" w14:textId="7FD8F0F0"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223,000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70972446" w14:textId="2726238D"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73,000</w:t>
            </w:r>
          </w:p>
        </w:tc>
      </w:tr>
      <w:tr w:rsidR="00156230" w:rsidRPr="00CB0716" w14:paraId="254C81D5"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7F3802B" w14:textId="77777777" w:rsidR="00156230" w:rsidRPr="00CB0716" w:rsidRDefault="00156230" w:rsidP="00156230">
            <w:pPr>
              <w:jc w:val="center"/>
              <w:rPr>
                <w:rFonts w:cs="Arial"/>
                <w:sz w:val="20"/>
                <w:szCs w:val="20"/>
              </w:rPr>
            </w:pPr>
            <w:r w:rsidRPr="00CB0716">
              <w:rPr>
                <w:rFonts w:cs="Arial"/>
                <w:sz w:val="20"/>
                <w:szCs w:val="20"/>
              </w:rPr>
              <w:t>5.10</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6388BE6C" w14:textId="2E4329A4" w:rsidR="00156230" w:rsidRPr="00CB0716" w:rsidRDefault="00156230" w:rsidP="00156230">
            <w:pPr>
              <w:rPr>
                <w:rFonts w:cs="Arial"/>
                <w:b/>
                <w:bCs/>
                <w:sz w:val="20"/>
                <w:szCs w:val="20"/>
              </w:rPr>
            </w:pPr>
            <w:r>
              <w:rPr>
                <w:rFonts w:cs="Arial"/>
                <w:sz w:val="20"/>
                <w:szCs w:val="20"/>
              </w:rPr>
              <w:t>Transportation Technology and Innovation Program</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0FFE160C" w14:textId="15CF63E6" w:rsidR="00156230" w:rsidRPr="00CB0716" w:rsidRDefault="00156230" w:rsidP="00156230">
            <w:pPr>
              <w:jc w:val="right"/>
              <w:rPr>
                <w:rFonts w:cs="Arial"/>
                <w:bCs/>
                <w:sz w:val="20"/>
                <w:szCs w:val="20"/>
              </w:rPr>
            </w:pPr>
            <w:r w:rsidRPr="00CB0716">
              <w:rPr>
                <w:rFonts w:cs="Arial"/>
                <w:sz w:val="20"/>
                <w:szCs w:val="20"/>
              </w:rPr>
              <w:t>$</w:t>
            </w:r>
            <w:r>
              <w:rPr>
                <w:rFonts w:cs="Arial"/>
                <w:sz w:val="20"/>
                <w:szCs w:val="20"/>
              </w:rPr>
              <w:t>143,000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21A0718D" w14:textId="4DC68A72" w:rsidR="00156230" w:rsidRPr="008812B9" w:rsidRDefault="00156230" w:rsidP="00156230">
            <w:pPr>
              <w:jc w:val="right"/>
              <w:rPr>
                <w:rFonts w:cs="Arial"/>
                <w:sz w:val="20"/>
                <w:szCs w:val="20"/>
              </w:rPr>
            </w:pPr>
            <w:r w:rsidRPr="008812B9">
              <w:rPr>
                <w:rFonts w:cs="Arial"/>
                <w:sz w:val="20"/>
                <w:szCs w:val="20"/>
              </w:rPr>
              <w:t>$</w:t>
            </w:r>
            <w:r>
              <w:rPr>
                <w:rFonts w:cs="Arial"/>
                <w:sz w:val="20"/>
                <w:szCs w:val="20"/>
              </w:rPr>
              <w:t>130</w:t>
            </w:r>
            <w:r w:rsidRPr="008812B9">
              <w:rPr>
                <w:rFonts w:cs="Arial"/>
                <w:sz w:val="20"/>
                <w:szCs w:val="20"/>
              </w:rPr>
              <w:t>,000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2330E1A0" w14:textId="1EC89160" w:rsidR="00156230" w:rsidRPr="007644E6" w:rsidRDefault="00156230" w:rsidP="00156230">
            <w:pPr>
              <w:jc w:val="right"/>
              <w:rPr>
                <w:rFonts w:cs="Arial"/>
                <w:bCs/>
                <w:color w:val="FF0000"/>
                <w:sz w:val="20"/>
                <w:szCs w:val="20"/>
              </w:rPr>
            </w:pPr>
            <w:r w:rsidRPr="007644E6">
              <w:rPr>
                <w:rFonts w:cs="Arial"/>
                <w:color w:val="FF0000"/>
                <w:sz w:val="20"/>
                <w:szCs w:val="20"/>
              </w:rPr>
              <w:t>($13,000)</w:t>
            </w:r>
          </w:p>
        </w:tc>
      </w:tr>
      <w:tr w:rsidR="00156230" w:rsidRPr="00CB0716" w14:paraId="4A7A3D99"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31D7F88" w14:textId="77777777" w:rsidR="00156230" w:rsidRPr="00CB0716" w:rsidRDefault="00156230" w:rsidP="00156230">
            <w:pPr>
              <w:jc w:val="center"/>
              <w:rPr>
                <w:rFonts w:cs="Arial"/>
                <w:sz w:val="20"/>
                <w:szCs w:val="20"/>
              </w:rPr>
            </w:pPr>
            <w:r w:rsidRPr="00CB0716">
              <w:rPr>
                <w:rFonts w:cs="Arial"/>
                <w:sz w:val="20"/>
                <w:szCs w:val="20"/>
              </w:rPr>
              <w:t>5.11</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1DB22BE5" w14:textId="6BF803DF" w:rsidR="00156230" w:rsidRPr="00CB0716" w:rsidRDefault="00156230" w:rsidP="00156230">
            <w:pPr>
              <w:rPr>
                <w:rFonts w:cs="Arial"/>
                <w:b/>
                <w:bCs/>
                <w:sz w:val="20"/>
                <w:szCs w:val="20"/>
              </w:rPr>
            </w:pPr>
            <w:r w:rsidRPr="00CB0716">
              <w:rPr>
                <w:rFonts w:cs="Arial"/>
                <w:sz w:val="20"/>
                <w:szCs w:val="20"/>
              </w:rPr>
              <w:t>North Texas Center for Mobility Technologies</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574ABF77" w14:textId="13D1E657" w:rsidR="00156230" w:rsidRPr="00CB0716" w:rsidRDefault="00156230" w:rsidP="00156230">
            <w:pPr>
              <w:jc w:val="right"/>
              <w:rPr>
                <w:rFonts w:cs="Arial"/>
                <w:bCs/>
                <w:sz w:val="20"/>
                <w:szCs w:val="20"/>
              </w:rPr>
            </w:pPr>
            <w:r w:rsidRPr="00CB0716">
              <w:rPr>
                <w:rFonts w:cs="Arial"/>
                <w:sz w:val="20"/>
                <w:szCs w:val="20"/>
              </w:rPr>
              <w:t>$</w:t>
            </w:r>
            <w:r>
              <w:rPr>
                <w:rFonts w:cs="Arial"/>
                <w:sz w:val="20"/>
                <w:szCs w:val="20"/>
              </w:rPr>
              <w:t>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69A02FD0" w14:textId="7F26B3F3" w:rsidR="00156230" w:rsidRPr="008812B9" w:rsidRDefault="00156230" w:rsidP="00156230">
            <w:pPr>
              <w:jc w:val="right"/>
              <w:rPr>
                <w:rFonts w:cs="Arial"/>
                <w:bCs/>
                <w:sz w:val="20"/>
                <w:szCs w:val="20"/>
              </w:rPr>
            </w:pPr>
            <w:r w:rsidRPr="008812B9">
              <w:rPr>
                <w:rFonts w:cs="Arial"/>
                <w:sz w:val="20"/>
                <w:szCs w:val="20"/>
              </w:rPr>
              <w:t>$</w:t>
            </w:r>
            <w:r>
              <w:rPr>
                <w:rFonts w:cs="Arial"/>
                <w:sz w:val="20"/>
                <w:szCs w:val="20"/>
              </w:rPr>
              <w:t>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41573ADE" w14:textId="1B4A410A" w:rsidR="00156230" w:rsidRPr="008812B9" w:rsidRDefault="00156230" w:rsidP="00156230">
            <w:pPr>
              <w:jc w:val="right"/>
              <w:rPr>
                <w:rFonts w:cs="Arial"/>
                <w:bCs/>
                <w:sz w:val="20"/>
                <w:szCs w:val="20"/>
              </w:rPr>
            </w:pPr>
            <w:r>
              <w:rPr>
                <w:rFonts w:cs="Arial"/>
                <w:bCs/>
                <w:sz w:val="20"/>
                <w:szCs w:val="20"/>
              </w:rPr>
              <w:t>$0</w:t>
            </w:r>
          </w:p>
        </w:tc>
      </w:tr>
    </w:tbl>
    <w:p w14:paraId="412C1648" w14:textId="77777777" w:rsidR="00954E76" w:rsidRDefault="00954E76"/>
    <w:p w14:paraId="351CCD3B" w14:textId="77777777" w:rsidR="00954E76" w:rsidRDefault="00954E76" w:rsidP="00954E76">
      <w:pPr>
        <w:jc w:val="center"/>
        <w:rPr>
          <w:rFonts w:cs="Arial"/>
          <w:b/>
          <w:bCs/>
        </w:rPr>
      </w:pPr>
      <w:r w:rsidRPr="00CB0716">
        <w:rPr>
          <w:rFonts w:cs="Arial"/>
          <w:b/>
          <w:bCs/>
        </w:rPr>
        <w:lastRenderedPageBreak/>
        <w:t>FY202</w:t>
      </w:r>
      <w:r>
        <w:rPr>
          <w:rFonts w:cs="Arial"/>
          <w:b/>
          <w:bCs/>
        </w:rPr>
        <w:t>4</w:t>
      </w:r>
      <w:r w:rsidRPr="00CB0716">
        <w:rPr>
          <w:rFonts w:cs="Arial"/>
          <w:b/>
          <w:bCs/>
        </w:rPr>
        <w:t xml:space="preserve"> and FY202</w:t>
      </w:r>
      <w:r>
        <w:rPr>
          <w:rFonts w:cs="Arial"/>
          <w:b/>
          <w:bCs/>
        </w:rPr>
        <w:t>5</w:t>
      </w:r>
      <w:r w:rsidRPr="00CB0716">
        <w:rPr>
          <w:rFonts w:cs="Arial"/>
          <w:b/>
          <w:bCs/>
        </w:rPr>
        <w:t xml:space="preserve"> Allocation of Transportation Planning Funds </w:t>
      </w:r>
      <w:r>
        <w:rPr>
          <w:rFonts w:cs="Arial"/>
          <w:b/>
          <w:bCs/>
        </w:rPr>
        <w:t>(Continued)</w:t>
      </w:r>
    </w:p>
    <w:p w14:paraId="2CFA1C43" w14:textId="77777777" w:rsidR="00954E76" w:rsidRDefault="00954E76" w:rsidP="00954E76"/>
    <w:tbl>
      <w:tblPr>
        <w:tblW w:w="9355" w:type="dxa"/>
        <w:jc w:val="center"/>
        <w:tblLook w:val="04A0" w:firstRow="1" w:lastRow="0" w:firstColumn="1" w:lastColumn="0" w:noHBand="0" w:noVBand="1"/>
      </w:tblPr>
      <w:tblGrid>
        <w:gridCol w:w="995"/>
        <w:gridCol w:w="4480"/>
        <w:gridCol w:w="1329"/>
        <w:gridCol w:w="1307"/>
        <w:gridCol w:w="22"/>
        <w:gridCol w:w="1222"/>
      </w:tblGrid>
      <w:tr w:rsidR="00954E76" w:rsidRPr="00CB0716" w14:paraId="23D5A9D9" w14:textId="77777777" w:rsidTr="009E54F3">
        <w:trPr>
          <w:trHeight w:val="405"/>
          <w:jc w:val="center"/>
        </w:trPr>
        <w:tc>
          <w:tcPr>
            <w:tcW w:w="995" w:type="dxa"/>
            <w:vMerge w:val="restart"/>
            <w:tcBorders>
              <w:top w:val="double" w:sz="4" w:space="0" w:color="auto"/>
              <w:left w:val="double" w:sz="4" w:space="0" w:color="auto"/>
              <w:bottom w:val="double" w:sz="6" w:space="0" w:color="000000"/>
              <w:right w:val="single" w:sz="4" w:space="0" w:color="auto"/>
            </w:tcBorders>
            <w:shd w:val="clear" w:color="auto" w:fill="D3E5F6" w:themeFill="accent3" w:themeFillTint="33"/>
            <w:noWrap/>
            <w:vAlign w:val="center"/>
            <w:hideMark/>
          </w:tcPr>
          <w:p w14:paraId="121B094A" w14:textId="77777777" w:rsidR="00954E76" w:rsidRPr="00CB0716" w:rsidRDefault="00954E76" w:rsidP="009E54F3">
            <w:pPr>
              <w:jc w:val="center"/>
              <w:rPr>
                <w:rFonts w:cs="Arial"/>
                <w:b/>
                <w:bCs/>
                <w:sz w:val="20"/>
                <w:szCs w:val="20"/>
              </w:rPr>
            </w:pPr>
            <w:r w:rsidRPr="00CB0716">
              <w:rPr>
                <w:rFonts w:cs="Arial"/>
                <w:b/>
                <w:bCs/>
                <w:sz w:val="20"/>
                <w:szCs w:val="20"/>
              </w:rPr>
              <w:t>Subtask</w:t>
            </w:r>
          </w:p>
        </w:tc>
        <w:tc>
          <w:tcPr>
            <w:tcW w:w="4480" w:type="dxa"/>
            <w:vMerge w:val="restart"/>
            <w:tcBorders>
              <w:top w:val="double" w:sz="4" w:space="0" w:color="auto"/>
              <w:left w:val="single" w:sz="4" w:space="0" w:color="auto"/>
              <w:bottom w:val="double" w:sz="6" w:space="0" w:color="000000"/>
              <w:right w:val="single" w:sz="4" w:space="0" w:color="auto"/>
            </w:tcBorders>
            <w:shd w:val="clear" w:color="auto" w:fill="D3E5F6" w:themeFill="accent3" w:themeFillTint="33"/>
            <w:noWrap/>
            <w:vAlign w:val="center"/>
            <w:hideMark/>
          </w:tcPr>
          <w:p w14:paraId="32401248" w14:textId="77777777" w:rsidR="00954E76" w:rsidRPr="00CB0716" w:rsidRDefault="00954E76" w:rsidP="009E54F3">
            <w:pPr>
              <w:jc w:val="center"/>
              <w:rPr>
                <w:rFonts w:cs="Arial"/>
                <w:b/>
                <w:bCs/>
                <w:sz w:val="20"/>
                <w:szCs w:val="20"/>
              </w:rPr>
            </w:pPr>
            <w:r w:rsidRPr="00CB0716">
              <w:rPr>
                <w:rFonts w:cs="Arial"/>
                <w:b/>
                <w:bCs/>
                <w:sz w:val="20"/>
                <w:szCs w:val="20"/>
              </w:rPr>
              <w:t>Subtask Title</w:t>
            </w:r>
          </w:p>
        </w:tc>
        <w:tc>
          <w:tcPr>
            <w:tcW w:w="3880" w:type="dxa"/>
            <w:gridSpan w:val="4"/>
            <w:tcBorders>
              <w:top w:val="double" w:sz="4" w:space="0" w:color="auto"/>
              <w:left w:val="nil"/>
              <w:bottom w:val="single" w:sz="4" w:space="0" w:color="auto"/>
              <w:right w:val="double" w:sz="4" w:space="0" w:color="auto"/>
            </w:tcBorders>
            <w:shd w:val="clear" w:color="auto" w:fill="D3E5F6" w:themeFill="accent3" w:themeFillTint="33"/>
            <w:noWrap/>
            <w:vAlign w:val="center"/>
            <w:hideMark/>
          </w:tcPr>
          <w:p w14:paraId="5F0A290C" w14:textId="77777777" w:rsidR="00954E76" w:rsidRPr="00CB0716" w:rsidRDefault="00954E76" w:rsidP="009E54F3">
            <w:pPr>
              <w:jc w:val="center"/>
              <w:rPr>
                <w:rFonts w:cs="Arial"/>
                <w:b/>
                <w:bCs/>
                <w:sz w:val="20"/>
                <w:szCs w:val="20"/>
              </w:rPr>
            </w:pPr>
            <w:r w:rsidRPr="00CB0716">
              <w:rPr>
                <w:rFonts w:cs="Arial"/>
                <w:b/>
                <w:bCs/>
                <w:sz w:val="20"/>
                <w:szCs w:val="20"/>
              </w:rPr>
              <w:t>2-Year Totals</w:t>
            </w:r>
          </w:p>
        </w:tc>
      </w:tr>
      <w:tr w:rsidR="00954E76" w:rsidRPr="00CB0716" w14:paraId="466D0F66" w14:textId="77777777" w:rsidTr="009E54F3">
        <w:trPr>
          <w:trHeight w:val="465"/>
          <w:jc w:val="center"/>
        </w:trPr>
        <w:tc>
          <w:tcPr>
            <w:tcW w:w="995" w:type="dxa"/>
            <w:vMerge/>
            <w:tcBorders>
              <w:top w:val="nil"/>
              <w:left w:val="double" w:sz="4" w:space="0" w:color="auto"/>
              <w:bottom w:val="double" w:sz="6" w:space="0" w:color="000000"/>
              <w:right w:val="single" w:sz="4" w:space="0" w:color="auto"/>
            </w:tcBorders>
            <w:shd w:val="clear" w:color="auto" w:fill="D3E5F6" w:themeFill="accent3" w:themeFillTint="33"/>
            <w:vAlign w:val="center"/>
            <w:hideMark/>
          </w:tcPr>
          <w:p w14:paraId="56E1A04E" w14:textId="77777777" w:rsidR="00954E76" w:rsidRPr="00CB0716" w:rsidRDefault="00954E76" w:rsidP="009E54F3">
            <w:pPr>
              <w:rPr>
                <w:rFonts w:cs="Arial"/>
                <w:b/>
                <w:bCs/>
                <w:sz w:val="20"/>
                <w:szCs w:val="20"/>
              </w:rPr>
            </w:pPr>
          </w:p>
        </w:tc>
        <w:tc>
          <w:tcPr>
            <w:tcW w:w="4480" w:type="dxa"/>
            <w:vMerge/>
            <w:tcBorders>
              <w:top w:val="nil"/>
              <w:left w:val="single" w:sz="4" w:space="0" w:color="auto"/>
              <w:bottom w:val="double" w:sz="6" w:space="0" w:color="000000"/>
              <w:right w:val="single" w:sz="4" w:space="0" w:color="auto"/>
            </w:tcBorders>
            <w:shd w:val="clear" w:color="auto" w:fill="D3E5F6" w:themeFill="accent3" w:themeFillTint="33"/>
            <w:vAlign w:val="center"/>
            <w:hideMark/>
          </w:tcPr>
          <w:p w14:paraId="28CFAC33" w14:textId="77777777" w:rsidR="00954E76" w:rsidRPr="00CB0716" w:rsidRDefault="00954E76" w:rsidP="009E54F3">
            <w:pPr>
              <w:rPr>
                <w:rFonts w:cs="Arial"/>
                <w:b/>
                <w:bCs/>
                <w:sz w:val="20"/>
                <w:szCs w:val="20"/>
              </w:rPr>
            </w:pPr>
          </w:p>
        </w:tc>
        <w:tc>
          <w:tcPr>
            <w:tcW w:w="1329" w:type="dxa"/>
            <w:tcBorders>
              <w:top w:val="nil"/>
              <w:left w:val="nil"/>
              <w:bottom w:val="double" w:sz="6" w:space="0" w:color="auto"/>
              <w:right w:val="single" w:sz="4" w:space="0" w:color="auto"/>
            </w:tcBorders>
            <w:shd w:val="clear" w:color="auto" w:fill="D3E5F6" w:themeFill="accent3" w:themeFillTint="33"/>
            <w:vAlign w:val="center"/>
            <w:hideMark/>
          </w:tcPr>
          <w:p w14:paraId="420DEE87" w14:textId="77777777" w:rsidR="00954E76" w:rsidRPr="00CB0716" w:rsidRDefault="00954E76" w:rsidP="009E54F3">
            <w:pPr>
              <w:jc w:val="center"/>
              <w:rPr>
                <w:rFonts w:cs="Arial"/>
                <w:b/>
                <w:bCs/>
                <w:sz w:val="20"/>
                <w:szCs w:val="20"/>
              </w:rPr>
            </w:pPr>
            <w:r w:rsidRPr="00CB0716">
              <w:rPr>
                <w:rFonts w:cs="Arial"/>
                <w:b/>
                <w:bCs/>
                <w:sz w:val="20"/>
                <w:szCs w:val="20"/>
              </w:rPr>
              <w:t>Current</w:t>
            </w:r>
          </w:p>
        </w:tc>
        <w:tc>
          <w:tcPr>
            <w:tcW w:w="1307" w:type="dxa"/>
            <w:tcBorders>
              <w:top w:val="nil"/>
              <w:left w:val="nil"/>
              <w:bottom w:val="double" w:sz="6" w:space="0" w:color="auto"/>
              <w:right w:val="single" w:sz="4" w:space="0" w:color="auto"/>
            </w:tcBorders>
            <w:shd w:val="clear" w:color="auto" w:fill="D3E5F6" w:themeFill="accent3" w:themeFillTint="33"/>
            <w:vAlign w:val="center"/>
            <w:hideMark/>
          </w:tcPr>
          <w:p w14:paraId="2B848E41" w14:textId="77777777" w:rsidR="00954E76" w:rsidRPr="00CB0716" w:rsidRDefault="00954E76" w:rsidP="009E54F3">
            <w:pPr>
              <w:jc w:val="center"/>
              <w:rPr>
                <w:rFonts w:cs="Arial"/>
                <w:b/>
                <w:bCs/>
                <w:sz w:val="20"/>
                <w:szCs w:val="20"/>
              </w:rPr>
            </w:pPr>
            <w:r w:rsidRPr="00CB0716">
              <w:rPr>
                <w:rFonts w:cs="Arial"/>
                <w:b/>
                <w:bCs/>
                <w:sz w:val="20"/>
                <w:szCs w:val="20"/>
              </w:rPr>
              <w:t>Proposed</w:t>
            </w:r>
          </w:p>
        </w:tc>
        <w:tc>
          <w:tcPr>
            <w:tcW w:w="1244" w:type="dxa"/>
            <w:gridSpan w:val="2"/>
            <w:tcBorders>
              <w:top w:val="nil"/>
              <w:left w:val="nil"/>
              <w:bottom w:val="double" w:sz="6" w:space="0" w:color="auto"/>
              <w:right w:val="double" w:sz="4" w:space="0" w:color="auto"/>
            </w:tcBorders>
            <w:shd w:val="clear" w:color="auto" w:fill="D3E5F6" w:themeFill="accent3" w:themeFillTint="33"/>
            <w:vAlign w:val="center"/>
            <w:hideMark/>
          </w:tcPr>
          <w:p w14:paraId="17522BF5" w14:textId="77777777" w:rsidR="00954E76" w:rsidRPr="00CB0716" w:rsidRDefault="00954E76" w:rsidP="009E54F3">
            <w:pPr>
              <w:jc w:val="center"/>
              <w:rPr>
                <w:rFonts w:cs="Arial"/>
                <w:b/>
                <w:bCs/>
                <w:sz w:val="20"/>
                <w:szCs w:val="20"/>
              </w:rPr>
            </w:pPr>
            <w:r w:rsidRPr="00CB0716">
              <w:rPr>
                <w:rFonts w:cs="Arial"/>
                <w:b/>
                <w:bCs/>
                <w:sz w:val="20"/>
                <w:szCs w:val="20"/>
              </w:rPr>
              <w:t>Variance</w:t>
            </w:r>
          </w:p>
        </w:tc>
      </w:tr>
      <w:tr w:rsidR="00156230" w:rsidRPr="00CB0716" w14:paraId="2947AF7C"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ADCA248" w14:textId="77777777" w:rsidR="00156230" w:rsidRDefault="00156230" w:rsidP="00156230">
            <w:pPr>
              <w:jc w:val="center"/>
              <w:rPr>
                <w:rFonts w:cs="Arial"/>
                <w:sz w:val="20"/>
                <w:szCs w:val="20"/>
              </w:rPr>
            </w:pPr>
          </w:p>
          <w:p w14:paraId="4E9A0673" w14:textId="5D0B7036" w:rsidR="00156230" w:rsidRPr="00CB0716" w:rsidRDefault="00156230" w:rsidP="00954E76">
            <w:pPr>
              <w:jc w:val="center"/>
              <w:rPr>
                <w:rFonts w:cs="Arial"/>
                <w:sz w:val="20"/>
                <w:szCs w:val="20"/>
              </w:rPr>
            </w:pPr>
            <w:r w:rsidRPr="00CB0716">
              <w:rPr>
                <w:rFonts w:cs="Arial"/>
                <w:sz w:val="20"/>
                <w:szCs w:val="20"/>
              </w:rPr>
              <w:t>5.12</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05F64AE3" w14:textId="77777777" w:rsidR="00156230" w:rsidRPr="00CB0716" w:rsidRDefault="00156230" w:rsidP="00156230">
            <w:pPr>
              <w:rPr>
                <w:rFonts w:cs="Arial"/>
                <w:sz w:val="20"/>
                <w:szCs w:val="20"/>
              </w:rPr>
            </w:pPr>
            <w:r w:rsidRPr="00CB0716">
              <w:rPr>
                <w:rFonts w:cs="Arial"/>
                <w:sz w:val="20"/>
                <w:szCs w:val="20"/>
              </w:rPr>
              <w:t>Red River Navigation System Feasibility Study</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54A3A986" w14:textId="77777777" w:rsidR="00156230" w:rsidRPr="00CB0716" w:rsidRDefault="00156230" w:rsidP="00156230">
            <w:pPr>
              <w:jc w:val="right"/>
              <w:rPr>
                <w:rFonts w:cs="Arial"/>
                <w:sz w:val="20"/>
                <w:szCs w:val="20"/>
              </w:rPr>
            </w:pPr>
            <w:r w:rsidRPr="00CB0716">
              <w:rPr>
                <w:rFonts w:cs="Arial"/>
                <w:sz w:val="20"/>
                <w:szCs w:val="20"/>
              </w:rPr>
              <w:t>$0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tcPr>
          <w:p w14:paraId="25AB6953" w14:textId="77777777" w:rsidR="00156230" w:rsidRPr="008812B9" w:rsidRDefault="00156230" w:rsidP="00156230">
            <w:pPr>
              <w:jc w:val="right"/>
              <w:rPr>
                <w:rFonts w:cs="Arial"/>
                <w:sz w:val="20"/>
                <w:szCs w:val="20"/>
              </w:rPr>
            </w:pPr>
            <w:r w:rsidRPr="008812B9">
              <w:rPr>
                <w:rFonts w:cs="Arial"/>
                <w:sz w:val="20"/>
                <w:szCs w:val="20"/>
              </w:rPr>
              <w:t>$0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3BF4615B" w14:textId="77777777" w:rsidR="00156230" w:rsidRPr="008812B9" w:rsidRDefault="00156230" w:rsidP="00156230">
            <w:pPr>
              <w:jc w:val="right"/>
              <w:rPr>
                <w:rFonts w:cs="Arial"/>
                <w:bCs/>
                <w:sz w:val="20"/>
                <w:szCs w:val="20"/>
              </w:rPr>
            </w:pPr>
            <w:r w:rsidRPr="008812B9">
              <w:rPr>
                <w:rFonts w:cs="Arial"/>
                <w:bCs/>
                <w:sz w:val="20"/>
                <w:szCs w:val="20"/>
              </w:rPr>
              <w:t>$0</w:t>
            </w:r>
          </w:p>
        </w:tc>
      </w:tr>
      <w:tr w:rsidR="00156230" w:rsidRPr="00CB0716" w14:paraId="0318BA3E"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3E23F034" w14:textId="77777777" w:rsidR="00156230" w:rsidRPr="00CB0716" w:rsidRDefault="00156230" w:rsidP="00156230">
            <w:pPr>
              <w:jc w:val="center"/>
              <w:rPr>
                <w:rFonts w:cs="Arial"/>
                <w:sz w:val="20"/>
                <w:szCs w:val="20"/>
              </w:rPr>
            </w:pPr>
            <w:r w:rsidRPr="00CB0716">
              <w:rPr>
                <w:rFonts w:cs="Arial"/>
                <w:sz w:val="20"/>
                <w:szCs w:val="20"/>
              </w:rPr>
              <w:t>5.13</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52CEF77C" w14:textId="77777777" w:rsidR="00156230" w:rsidRDefault="00156230" w:rsidP="00156230">
            <w:pPr>
              <w:rPr>
                <w:rFonts w:cs="Arial"/>
                <w:sz w:val="20"/>
                <w:szCs w:val="20"/>
              </w:rPr>
            </w:pPr>
            <w:r>
              <w:rPr>
                <w:rFonts w:cs="Arial"/>
                <w:sz w:val="20"/>
                <w:szCs w:val="20"/>
              </w:rPr>
              <w:t xml:space="preserve">2.5 Percent Set-Aside for Increasing Safe </w:t>
            </w:r>
          </w:p>
          <w:p w14:paraId="03C2D1A9" w14:textId="77BBBC7A" w:rsidR="00156230" w:rsidRPr="00CB0716" w:rsidRDefault="00156230" w:rsidP="00156230">
            <w:pPr>
              <w:rPr>
                <w:rFonts w:cs="Arial"/>
                <w:sz w:val="20"/>
                <w:szCs w:val="20"/>
              </w:rPr>
            </w:pPr>
            <w:r>
              <w:rPr>
                <w:rFonts w:cs="Arial"/>
                <w:sz w:val="20"/>
                <w:szCs w:val="20"/>
              </w:rPr>
              <w:t>And Accessible Transportation Options</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63F200E8" w14:textId="0A8FC623" w:rsidR="00156230" w:rsidRPr="00CB0716" w:rsidRDefault="00156230" w:rsidP="00156230">
            <w:pPr>
              <w:jc w:val="right"/>
              <w:rPr>
                <w:rFonts w:cs="Arial"/>
                <w:sz w:val="20"/>
                <w:szCs w:val="20"/>
              </w:rPr>
            </w:pPr>
            <w:r w:rsidRPr="00CB0716">
              <w:rPr>
                <w:rFonts w:cs="Arial"/>
                <w:sz w:val="20"/>
                <w:szCs w:val="20"/>
              </w:rPr>
              <w:t>$</w:t>
            </w:r>
            <w:r>
              <w:rPr>
                <w:rFonts w:cs="Arial"/>
                <w:sz w:val="20"/>
                <w:szCs w:val="20"/>
              </w:rPr>
              <w:t>261,306</w:t>
            </w:r>
          </w:p>
        </w:tc>
        <w:tc>
          <w:tcPr>
            <w:tcW w:w="1329" w:type="dxa"/>
            <w:gridSpan w:val="2"/>
            <w:tcBorders>
              <w:top w:val="nil"/>
              <w:left w:val="nil"/>
              <w:bottom w:val="single" w:sz="4" w:space="0" w:color="auto"/>
              <w:right w:val="single" w:sz="4" w:space="0" w:color="auto"/>
            </w:tcBorders>
            <w:shd w:val="clear" w:color="auto" w:fill="auto"/>
            <w:noWrap/>
            <w:vAlign w:val="center"/>
          </w:tcPr>
          <w:p w14:paraId="5619AD2E" w14:textId="405CDC50" w:rsidR="00156230" w:rsidRPr="008812B9" w:rsidRDefault="00156230" w:rsidP="00156230">
            <w:pPr>
              <w:jc w:val="right"/>
              <w:rPr>
                <w:rFonts w:cs="Arial"/>
                <w:sz w:val="20"/>
                <w:szCs w:val="20"/>
              </w:rPr>
            </w:pPr>
            <w:r w:rsidRPr="008812B9">
              <w:rPr>
                <w:rFonts w:cs="Arial"/>
                <w:sz w:val="20"/>
                <w:szCs w:val="20"/>
              </w:rPr>
              <w:t>$</w:t>
            </w:r>
            <w:r>
              <w:rPr>
                <w:rFonts w:cs="Arial"/>
                <w:sz w:val="20"/>
                <w:szCs w:val="20"/>
              </w:rPr>
              <w:t>261,306</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3215A2F1" w14:textId="77777777" w:rsidR="00156230" w:rsidRPr="008812B9" w:rsidRDefault="00156230" w:rsidP="00156230">
            <w:pPr>
              <w:jc w:val="right"/>
              <w:rPr>
                <w:rFonts w:cs="Arial"/>
                <w:sz w:val="20"/>
                <w:szCs w:val="20"/>
              </w:rPr>
            </w:pPr>
            <w:r w:rsidRPr="008812B9">
              <w:rPr>
                <w:rFonts w:cs="Arial"/>
                <w:sz w:val="20"/>
                <w:szCs w:val="20"/>
              </w:rPr>
              <w:t>$0</w:t>
            </w:r>
          </w:p>
        </w:tc>
      </w:tr>
      <w:tr w:rsidR="00156230" w:rsidRPr="00CB0716" w14:paraId="6B1C1290"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auto"/>
            <w:noWrap/>
            <w:vAlign w:val="center"/>
          </w:tcPr>
          <w:p w14:paraId="3D5D4C5A" w14:textId="1B3367EC" w:rsidR="00156230" w:rsidRPr="00CB0716" w:rsidRDefault="00156230" w:rsidP="00156230">
            <w:pPr>
              <w:jc w:val="center"/>
              <w:rPr>
                <w:rFonts w:cs="Arial"/>
                <w:sz w:val="20"/>
                <w:szCs w:val="20"/>
              </w:rPr>
            </w:pPr>
            <w:r>
              <w:rPr>
                <w:rFonts w:cs="Arial"/>
                <w:sz w:val="20"/>
                <w:szCs w:val="20"/>
              </w:rPr>
              <w:t>5.14</w:t>
            </w:r>
          </w:p>
        </w:tc>
        <w:tc>
          <w:tcPr>
            <w:tcW w:w="4480" w:type="dxa"/>
            <w:tcBorders>
              <w:top w:val="single" w:sz="4" w:space="0" w:color="auto"/>
              <w:left w:val="nil"/>
              <w:bottom w:val="single" w:sz="4" w:space="0" w:color="auto"/>
              <w:right w:val="single" w:sz="4" w:space="0" w:color="auto"/>
            </w:tcBorders>
            <w:shd w:val="clear" w:color="auto" w:fill="auto"/>
            <w:noWrap/>
            <w:vAlign w:val="center"/>
          </w:tcPr>
          <w:p w14:paraId="3F46FBAD" w14:textId="2BF3B772" w:rsidR="00156230" w:rsidRPr="00CB0716" w:rsidRDefault="00156230" w:rsidP="00156230">
            <w:pPr>
              <w:rPr>
                <w:rFonts w:cs="Arial"/>
                <w:sz w:val="20"/>
                <w:szCs w:val="20"/>
              </w:rPr>
            </w:pPr>
            <w:r>
              <w:rPr>
                <w:rFonts w:cs="Arial"/>
                <w:sz w:val="20"/>
                <w:szCs w:val="20"/>
              </w:rPr>
              <w:t>Alternative Fuel Corridor Planning</w:t>
            </w:r>
          </w:p>
        </w:tc>
        <w:tc>
          <w:tcPr>
            <w:tcW w:w="1329" w:type="dxa"/>
            <w:tcBorders>
              <w:top w:val="single" w:sz="4" w:space="0" w:color="auto"/>
              <w:left w:val="nil"/>
              <w:bottom w:val="single" w:sz="4" w:space="0" w:color="auto"/>
              <w:right w:val="single" w:sz="4" w:space="0" w:color="auto"/>
            </w:tcBorders>
            <w:shd w:val="clear" w:color="auto" w:fill="auto"/>
            <w:noWrap/>
            <w:vAlign w:val="center"/>
          </w:tcPr>
          <w:p w14:paraId="2131F3AA" w14:textId="784FC238" w:rsidR="00156230" w:rsidRPr="00CB0716" w:rsidRDefault="00156230" w:rsidP="00156230">
            <w:pPr>
              <w:jc w:val="right"/>
              <w:rPr>
                <w:rFonts w:cs="Arial"/>
                <w:sz w:val="20"/>
                <w:szCs w:val="20"/>
              </w:rPr>
            </w:pPr>
            <w:r>
              <w:rPr>
                <w:rFonts w:cs="Arial"/>
                <w:sz w:val="20"/>
                <w:szCs w:val="20"/>
              </w:rPr>
              <w:t>$0</w:t>
            </w:r>
          </w:p>
        </w:tc>
        <w:tc>
          <w:tcPr>
            <w:tcW w:w="1329" w:type="dxa"/>
            <w:gridSpan w:val="2"/>
            <w:tcBorders>
              <w:top w:val="nil"/>
              <w:left w:val="nil"/>
              <w:bottom w:val="single" w:sz="4" w:space="0" w:color="auto"/>
              <w:right w:val="single" w:sz="4" w:space="0" w:color="auto"/>
            </w:tcBorders>
            <w:shd w:val="clear" w:color="auto" w:fill="auto"/>
            <w:noWrap/>
            <w:vAlign w:val="center"/>
          </w:tcPr>
          <w:p w14:paraId="145D961B" w14:textId="62FD15B5" w:rsidR="00156230" w:rsidRPr="008812B9" w:rsidRDefault="00156230" w:rsidP="00156230">
            <w:pPr>
              <w:jc w:val="right"/>
              <w:rPr>
                <w:rFonts w:cs="Arial"/>
                <w:sz w:val="20"/>
                <w:szCs w:val="20"/>
              </w:rPr>
            </w:pPr>
            <w:r>
              <w:rPr>
                <w:rFonts w:cs="Arial"/>
                <w:sz w:val="20"/>
                <w:szCs w:val="20"/>
              </w:rPr>
              <w:t>$200,000</w:t>
            </w:r>
          </w:p>
        </w:tc>
        <w:tc>
          <w:tcPr>
            <w:tcW w:w="1222" w:type="dxa"/>
            <w:tcBorders>
              <w:top w:val="single" w:sz="4" w:space="0" w:color="auto"/>
              <w:left w:val="nil"/>
              <w:bottom w:val="single" w:sz="4" w:space="0" w:color="auto"/>
              <w:right w:val="double" w:sz="4" w:space="0" w:color="auto"/>
            </w:tcBorders>
            <w:shd w:val="clear" w:color="auto" w:fill="auto"/>
            <w:noWrap/>
            <w:vAlign w:val="center"/>
          </w:tcPr>
          <w:p w14:paraId="65543903" w14:textId="4F6A4F6F" w:rsidR="00156230" w:rsidRPr="008812B9" w:rsidRDefault="00156230" w:rsidP="00156230">
            <w:pPr>
              <w:jc w:val="right"/>
              <w:rPr>
                <w:rFonts w:cs="Arial"/>
                <w:sz w:val="20"/>
                <w:szCs w:val="20"/>
              </w:rPr>
            </w:pPr>
            <w:r>
              <w:rPr>
                <w:rFonts w:cs="Arial"/>
                <w:sz w:val="20"/>
                <w:szCs w:val="20"/>
              </w:rPr>
              <w:t>$200,000</w:t>
            </w:r>
          </w:p>
        </w:tc>
      </w:tr>
      <w:tr w:rsidR="00156230" w:rsidRPr="00CB0716" w14:paraId="00CCF98A" w14:textId="77777777" w:rsidTr="00156230">
        <w:trPr>
          <w:trHeight w:val="450"/>
          <w:jc w:val="center"/>
        </w:trPr>
        <w:tc>
          <w:tcPr>
            <w:tcW w:w="995" w:type="dxa"/>
            <w:tcBorders>
              <w:top w:val="single" w:sz="4" w:space="0" w:color="auto"/>
              <w:left w:val="double" w:sz="4" w:space="0" w:color="auto"/>
              <w:bottom w:val="single" w:sz="4" w:space="0" w:color="auto"/>
              <w:right w:val="single" w:sz="4" w:space="0" w:color="auto"/>
            </w:tcBorders>
            <w:shd w:val="clear" w:color="auto" w:fill="F2F2F2"/>
            <w:noWrap/>
            <w:vAlign w:val="center"/>
          </w:tcPr>
          <w:p w14:paraId="66AD82F6" w14:textId="77777777" w:rsidR="00156230" w:rsidRPr="00CB0716" w:rsidRDefault="00156230" w:rsidP="00156230">
            <w:pPr>
              <w:jc w:val="center"/>
              <w:rPr>
                <w:rFonts w:cs="Arial"/>
                <w:sz w:val="20"/>
                <w:szCs w:val="20"/>
              </w:rPr>
            </w:pPr>
          </w:p>
        </w:tc>
        <w:tc>
          <w:tcPr>
            <w:tcW w:w="4480" w:type="dxa"/>
            <w:tcBorders>
              <w:top w:val="single" w:sz="4" w:space="0" w:color="auto"/>
              <w:left w:val="nil"/>
              <w:bottom w:val="single" w:sz="4" w:space="0" w:color="auto"/>
              <w:right w:val="single" w:sz="4" w:space="0" w:color="auto"/>
            </w:tcBorders>
            <w:shd w:val="clear" w:color="auto" w:fill="F2F2F2"/>
            <w:noWrap/>
            <w:vAlign w:val="center"/>
          </w:tcPr>
          <w:p w14:paraId="2985F82E" w14:textId="77777777" w:rsidR="00156230" w:rsidRPr="00CB0716" w:rsidRDefault="00156230" w:rsidP="00156230">
            <w:pPr>
              <w:rPr>
                <w:rFonts w:cs="Arial"/>
                <w:b/>
                <w:bCs/>
                <w:sz w:val="20"/>
                <w:szCs w:val="20"/>
              </w:rPr>
            </w:pPr>
            <w:r w:rsidRPr="00CB0716">
              <w:rPr>
                <w:rFonts w:cs="Arial"/>
                <w:b/>
                <w:bCs/>
                <w:sz w:val="20"/>
                <w:szCs w:val="20"/>
              </w:rPr>
              <w:t xml:space="preserve">Subtask 5 – Special Studies </w:t>
            </w:r>
          </w:p>
        </w:tc>
        <w:tc>
          <w:tcPr>
            <w:tcW w:w="1329" w:type="dxa"/>
            <w:tcBorders>
              <w:top w:val="single" w:sz="4" w:space="0" w:color="auto"/>
              <w:left w:val="nil"/>
              <w:bottom w:val="single" w:sz="4" w:space="0" w:color="auto"/>
              <w:right w:val="single" w:sz="4" w:space="0" w:color="auto"/>
            </w:tcBorders>
            <w:shd w:val="clear" w:color="auto" w:fill="F2F2F2"/>
            <w:noWrap/>
            <w:vAlign w:val="center"/>
          </w:tcPr>
          <w:p w14:paraId="138EBAE8" w14:textId="3DFD9521" w:rsidR="00156230" w:rsidRPr="00CB0716" w:rsidRDefault="00156230" w:rsidP="00156230">
            <w:pPr>
              <w:jc w:val="right"/>
              <w:rPr>
                <w:rFonts w:cs="Arial"/>
                <w:bCs/>
                <w:sz w:val="20"/>
                <w:szCs w:val="20"/>
              </w:rPr>
            </w:pPr>
            <w:r w:rsidRPr="00CB0716">
              <w:rPr>
                <w:rFonts w:cs="Arial"/>
                <w:b/>
                <w:bCs/>
                <w:sz w:val="20"/>
                <w:szCs w:val="20"/>
              </w:rPr>
              <w:t>$</w:t>
            </w:r>
            <w:r>
              <w:rPr>
                <w:rFonts w:cs="Arial"/>
                <w:b/>
                <w:bCs/>
                <w:sz w:val="20"/>
                <w:szCs w:val="20"/>
              </w:rPr>
              <w:t>3,109,000</w:t>
            </w:r>
          </w:p>
        </w:tc>
        <w:tc>
          <w:tcPr>
            <w:tcW w:w="1329" w:type="dxa"/>
            <w:gridSpan w:val="2"/>
            <w:tcBorders>
              <w:top w:val="nil"/>
              <w:left w:val="nil"/>
              <w:bottom w:val="single" w:sz="4" w:space="0" w:color="auto"/>
              <w:right w:val="single" w:sz="4" w:space="0" w:color="auto"/>
            </w:tcBorders>
            <w:shd w:val="clear" w:color="auto" w:fill="F2F2F2"/>
            <w:noWrap/>
            <w:vAlign w:val="center"/>
          </w:tcPr>
          <w:p w14:paraId="65A5009D" w14:textId="7E234DB8" w:rsidR="00156230" w:rsidRPr="008812B9" w:rsidRDefault="00156230" w:rsidP="00156230">
            <w:pPr>
              <w:jc w:val="right"/>
              <w:rPr>
                <w:rFonts w:cs="Arial"/>
                <w:b/>
                <w:bCs/>
                <w:sz w:val="20"/>
                <w:szCs w:val="20"/>
              </w:rPr>
            </w:pPr>
            <w:r w:rsidRPr="008812B9">
              <w:rPr>
                <w:rFonts w:cs="Arial"/>
                <w:b/>
                <w:bCs/>
                <w:sz w:val="20"/>
                <w:szCs w:val="20"/>
              </w:rPr>
              <w:t>$</w:t>
            </w:r>
            <w:r>
              <w:rPr>
                <w:rFonts w:cs="Arial"/>
                <w:b/>
                <w:bCs/>
                <w:sz w:val="20"/>
                <w:szCs w:val="20"/>
              </w:rPr>
              <w:t>3,863,000</w:t>
            </w:r>
          </w:p>
        </w:tc>
        <w:tc>
          <w:tcPr>
            <w:tcW w:w="1222" w:type="dxa"/>
            <w:tcBorders>
              <w:top w:val="single" w:sz="4" w:space="0" w:color="auto"/>
              <w:left w:val="nil"/>
              <w:bottom w:val="single" w:sz="4" w:space="0" w:color="auto"/>
              <w:right w:val="double" w:sz="4" w:space="0" w:color="auto"/>
            </w:tcBorders>
            <w:shd w:val="clear" w:color="auto" w:fill="F2F2F2"/>
            <w:noWrap/>
            <w:vAlign w:val="center"/>
          </w:tcPr>
          <w:p w14:paraId="061578EE" w14:textId="59A0E0CB" w:rsidR="00156230" w:rsidRPr="00B12CB0" w:rsidRDefault="00156230" w:rsidP="00156230">
            <w:pPr>
              <w:jc w:val="right"/>
              <w:rPr>
                <w:rFonts w:cs="Arial"/>
                <w:b/>
                <w:bCs/>
                <w:sz w:val="20"/>
                <w:szCs w:val="20"/>
              </w:rPr>
            </w:pPr>
            <w:r w:rsidRPr="00B12CB0">
              <w:rPr>
                <w:rFonts w:cs="Arial"/>
                <w:b/>
                <w:bCs/>
                <w:sz w:val="20"/>
                <w:szCs w:val="20"/>
              </w:rPr>
              <w:t>$754,000</w:t>
            </w:r>
          </w:p>
        </w:tc>
      </w:tr>
      <w:tr w:rsidR="00156230" w:rsidRPr="00CB0716" w14:paraId="59DA031E" w14:textId="77777777" w:rsidTr="00156230">
        <w:trPr>
          <w:trHeight w:val="450"/>
          <w:jc w:val="center"/>
        </w:trPr>
        <w:tc>
          <w:tcPr>
            <w:tcW w:w="995" w:type="dxa"/>
            <w:tcBorders>
              <w:top w:val="single" w:sz="4" w:space="0" w:color="auto"/>
              <w:left w:val="double" w:sz="4" w:space="0" w:color="auto"/>
              <w:bottom w:val="double" w:sz="4" w:space="0" w:color="auto"/>
              <w:right w:val="single" w:sz="4" w:space="0" w:color="auto"/>
            </w:tcBorders>
            <w:shd w:val="clear" w:color="auto" w:fill="auto"/>
            <w:noWrap/>
            <w:vAlign w:val="center"/>
          </w:tcPr>
          <w:p w14:paraId="528DC3A7" w14:textId="77777777" w:rsidR="00156230" w:rsidRPr="00CB0716" w:rsidRDefault="00156230" w:rsidP="00156230">
            <w:pPr>
              <w:jc w:val="center"/>
              <w:rPr>
                <w:rFonts w:cs="Arial"/>
                <w:sz w:val="20"/>
                <w:szCs w:val="20"/>
              </w:rPr>
            </w:pPr>
          </w:p>
        </w:tc>
        <w:tc>
          <w:tcPr>
            <w:tcW w:w="4480" w:type="dxa"/>
            <w:tcBorders>
              <w:top w:val="single" w:sz="4" w:space="0" w:color="auto"/>
              <w:left w:val="nil"/>
              <w:bottom w:val="double" w:sz="4" w:space="0" w:color="auto"/>
              <w:right w:val="single" w:sz="4" w:space="0" w:color="auto"/>
            </w:tcBorders>
            <w:shd w:val="clear" w:color="auto" w:fill="auto"/>
            <w:noWrap/>
            <w:vAlign w:val="center"/>
          </w:tcPr>
          <w:p w14:paraId="2397B111" w14:textId="77777777" w:rsidR="00156230" w:rsidRPr="00CB0716" w:rsidRDefault="00156230" w:rsidP="00156230">
            <w:pPr>
              <w:rPr>
                <w:rFonts w:cs="Arial"/>
                <w:b/>
                <w:bCs/>
                <w:sz w:val="20"/>
                <w:szCs w:val="20"/>
              </w:rPr>
            </w:pPr>
            <w:r w:rsidRPr="00CB0716">
              <w:rPr>
                <w:rFonts w:cs="Arial"/>
                <w:b/>
                <w:bCs/>
                <w:sz w:val="20"/>
                <w:szCs w:val="20"/>
              </w:rPr>
              <w:t>Funding Totals</w:t>
            </w:r>
          </w:p>
        </w:tc>
        <w:tc>
          <w:tcPr>
            <w:tcW w:w="1329" w:type="dxa"/>
            <w:tcBorders>
              <w:top w:val="single" w:sz="4" w:space="0" w:color="auto"/>
              <w:left w:val="nil"/>
              <w:bottom w:val="double" w:sz="4" w:space="0" w:color="auto"/>
              <w:right w:val="single" w:sz="4" w:space="0" w:color="auto"/>
            </w:tcBorders>
            <w:shd w:val="clear" w:color="auto" w:fill="auto"/>
            <w:noWrap/>
            <w:vAlign w:val="center"/>
          </w:tcPr>
          <w:p w14:paraId="0D709E7D" w14:textId="7BE207D4" w:rsidR="00156230" w:rsidRPr="00CB0716" w:rsidRDefault="00156230" w:rsidP="00156230">
            <w:pPr>
              <w:jc w:val="right"/>
              <w:rPr>
                <w:rFonts w:cs="Arial"/>
                <w:bCs/>
                <w:sz w:val="20"/>
                <w:szCs w:val="20"/>
              </w:rPr>
            </w:pPr>
            <w:r w:rsidRPr="00CB0716">
              <w:rPr>
                <w:rFonts w:cs="Arial"/>
                <w:b/>
                <w:bCs/>
                <w:sz w:val="20"/>
                <w:szCs w:val="20"/>
              </w:rPr>
              <w:t>$</w:t>
            </w:r>
            <w:r>
              <w:rPr>
                <w:rFonts w:cs="Arial"/>
                <w:b/>
                <w:bCs/>
                <w:sz w:val="20"/>
                <w:szCs w:val="20"/>
              </w:rPr>
              <w:t>15,326,000</w:t>
            </w:r>
          </w:p>
        </w:tc>
        <w:tc>
          <w:tcPr>
            <w:tcW w:w="1329" w:type="dxa"/>
            <w:gridSpan w:val="2"/>
            <w:tcBorders>
              <w:top w:val="single" w:sz="4" w:space="0" w:color="auto"/>
              <w:left w:val="nil"/>
              <w:bottom w:val="double" w:sz="4" w:space="0" w:color="auto"/>
              <w:right w:val="single" w:sz="4" w:space="0" w:color="auto"/>
            </w:tcBorders>
            <w:shd w:val="clear" w:color="auto" w:fill="auto"/>
            <w:noWrap/>
            <w:vAlign w:val="center"/>
          </w:tcPr>
          <w:p w14:paraId="347CD590" w14:textId="1E5E267B" w:rsidR="00156230" w:rsidRPr="008812B9" w:rsidRDefault="00156230" w:rsidP="00156230">
            <w:pPr>
              <w:jc w:val="right"/>
              <w:rPr>
                <w:rFonts w:cs="Arial"/>
                <w:bCs/>
                <w:sz w:val="20"/>
                <w:szCs w:val="20"/>
              </w:rPr>
            </w:pPr>
            <w:r w:rsidRPr="008812B9">
              <w:rPr>
                <w:rFonts w:cs="Arial"/>
                <w:b/>
                <w:bCs/>
                <w:sz w:val="20"/>
                <w:szCs w:val="20"/>
              </w:rPr>
              <w:t>$</w:t>
            </w:r>
            <w:r>
              <w:rPr>
                <w:rFonts w:cs="Arial"/>
                <w:b/>
                <w:bCs/>
                <w:sz w:val="20"/>
                <w:szCs w:val="20"/>
              </w:rPr>
              <w:t>16,982,000</w:t>
            </w:r>
          </w:p>
        </w:tc>
        <w:tc>
          <w:tcPr>
            <w:tcW w:w="1222" w:type="dxa"/>
            <w:tcBorders>
              <w:top w:val="single" w:sz="4" w:space="0" w:color="auto"/>
              <w:left w:val="nil"/>
              <w:bottom w:val="double" w:sz="4" w:space="0" w:color="auto"/>
              <w:right w:val="double" w:sz="4" w:space="0" w:color="auto"/>
            </w:tcBorders>
            <w:shd w:val="clear" w:color="auto" w:fill="auto"/>
            <w:noWrap/>
            <w:vAlign w:val="center"/>
          </w:tcPr>
          <w:p w14:paraId="3419B8F9" w14:textId="2B619650" w:rsidR="00156230" w:rsidRPr="00B12CB0" w:rsidRDefault="00156230" w:rsidP="00156230">
            <w:pPr>
              <w:jc w:val="right"/>
              <w:rPr>
                <w:rFonts w:cs="Arial"/>
                <w:b/>
                <w:sz w:val="20"/>
                <w:szCs w:val="20"/>
              </w:rPr>
            </w:pPr>
            <w:r w:rsidRPr="00B12CB0">
              <w:rPr>
                <w:rFonts w:cs="Arial"/>
                <w:b/>
                <w:sz w:val="20"/>
                <w:szCs w:val="20"/>
              </w:rPr>
              <w:t>$1,656,000</w:t>
            </w:r>
          </w:p>
        </w:tc>
      </w:tr>
    </w:tbl>
    <w:p w14:paraId="4C98952C" w14:textId="77777777" w:rsidR="00B3255D" w:rsidRDefault="00B3255D" w:rsidP="00875D09">
      <w:pPr>
        <w:tabs>
          <w:tab w:val="left" w:pos="346"/>
          <w:tab w:val="left" w:pos="677"/>
          <w:tab w:val="left" w:pos="1210"/>
          <w:tab w:val="left" w:pos="4680"/>
          <w:tab w:val="left" w:pos="5760"/>
        </w:tabs>
        <w:ind w:right="-180"/>
      </w:pPr>
    </w:p>
    <w:p w14:paraId="44D0DD3F" w14:textId="77777777" w:rsidR="00954E76" w:rsidRDefault="00954E76" w:rsidP="00875D09">
      <w:pPr>
        <w:tabs>
          <w:tab w:val="left" w:pos="346"/>
          <w:tab w:val="left" w:pos="677"/>
          <w:tab w:val="left" w:pos="1210"/>
          <w:tab w:val="left" w:pos="4680"/>
          <w:tab w:val="left" w:pos="5760"/>
        </w:tabs>
        <w:ind w:right="-180"/>
      </w:pPr>
    </w:p>
    <w:tbl>
      <w:tblPr>
        <w:tblW w:w="993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80"/>
        <w:gridCol w:w="1520"/>
        <w:gridCol w:w="7336"/>
      </w:tblGrid>
      <w:tr w:rsidR="00EE5068" w:rsidRPr="00CB0716" w14:paraId="0DF3E03C" w14:textId="77777777" w:rsidTr="00206E17">
        <w:trPr>
          <w:trHeight w:val="432"/>
          <w:jc w:val="center"/>
        </w:trPr>
        <w:tc>
          <w:tcPr>
            <w:tcW w:w="9936" w:type="dxa"/>
            <w:gridSpan w:val="3"/>
            <w:tcBorders>
              <w:top w:val="nil"/>
              <w:left w:val="nil"/>
              <w:bottom w:val="double" w:sz="4" w:space="0" w:color="auto"/>
              <w:right w:val="nil"/>
            </w:tcBorders>
            <w:shd w:val="clear" w:color="auto" w:fill="auto"/>
            <w:noWrap/>
            <w:vAlign w:val="center"/>
            <w:hideMark/>
          </w:tcPr>
          <w:p w14:paraId="497F5350" w14:textId="77777777" w:rsidR="00EE5068" w:rsidRDefault="00EE5068" w:rsidP="00E26A16">
            <w:pPr>
              <w:jc w:val="center"/>
              <w:rPr>
                <w:rFonts w:cs="Arial"/>
                <w:b/>
                <w:bCs/>
              </w:rPr>
            </w:pPr>
            <w:r w:rsidRPr="00CB0716">
              <w:rPr>
                <w:rFonts w:cs="Arial"/>
                <w:b/>
                <w:bCs/>
              </w:rPr>
              <w:t>Non–TPF FY202</w:t>
            </w:r>
            <w:r>
              <w:rPr>
                <w:rFonts w:cs="Arial"/>
                <w:b/>
                <w:bCs/>
              </w:rPr>
              <w:t>5</w:t>
            </w:r>
            <w:r w:rsidRPr="00CB0716">
              <w:rPr>
                <w:rFonts w:cs="Arial"/>
                <w:b/>
                <w:bCs/>
              </w:rPr>
              <w:t xml:space="preserve"> Budget Adjustments</w:t>
            </w:r>
          </w:p>
          <w:p w14:paraId="322343FC" w14:textId="702EBBFC" w:rsidR="00954E76" w:rsidRPr="00CB0716" w:rsidRDefault="00954E76" w:rsidP="00E26A16">
            <w:pPr>
              <w:jc w:val="center"/>
              <w:rPr>
                <w:rFonts w:cs="Arial"/>
                <w:b/>
                <w:bCs/>
              </w:rPr>
            </w:pPr>
          </w:p>
        </w:tc>
      </w:tr>
      <w:tr w:rsidR="00E966AA" w:rsidRPr="00CB0716" w14:paraId="1A839AD4" w14:textId="77777777" w:rsidTr="00E966AA">
        <w:trPr>
          <w:trHeight w:val="647"/>
          <w:jc w:val="center"/>
        </w:trPr>
        <w:tc>
          <w:tcPr>
            <w:tcW w:w="1080" w:type="dxa"/>
            <w:tcBorders>
              <w:top w:val="double" w:sz="4" w:space="0" w:color="auto"/>
              <w:left w:val="double" w:sz="4" w:space="0" w:color="auto"/>
              <w:bottom w:val="double" w:sz="4" w:space="0" w:color="auto"/>
              <w:right w:val="single" w:sz="4" w:space="0" w:color="auto"/>
            </w:tcBorders>
            <w:shd w:val="clear" w:color="auto" w:fill="D3E5F6" w:themeFill="accent3" w:themeFillTint="33"/>
            <w:noWrap/>
            <w:vAlign w:val="center"/>
            <w:hideMark/>
          </w:tcPr>
          <w:p w14:paraId="5FEE0E6C" w14:textId="77777777" w:rsidR="00EE5068" w:rsidRPr="000738F2" w:rsidRDefault="00EE5068" w:rsidP="00E26A16">
            <w:pPr>
              <w:jc w:val="center"/>
              <w:rPr>
                <w:rFonts w:cs="Arial"/>
                <w:b/>
                <w:sz w:val="20"/>
                <w:szCs w:val="20"/>
              </w:rPr>
            </w:pPr>
            <w:bookmarkStart w:id="1" w:name="_Hlk116058328"/>
            <w:r w:rsidRPr="000738F2">
              <w:rPr>
                <w:rFonts w:cs="Arial"/>
                <w:b/>
                <w:sz w:val="20"/>
                <w:szCs w:val="20"/>
              </w:rPr>
              <w:t>Funding</w:t>
            </w:r>
          </w:p>
          <w:p w14:paraId="4AAC4104" w14:textId="77777777" w:rsidR="00EE5068" w:rsidRPr="000738F2" w:rsidRDefault="00EE5068" w:rsidP="00E26A16">
            <w:pPr>
              <w:jc w:val="center"/>
              <w:rPr>
                <w:rFonts w:cs="Arial"/>
                <w:b/>
                <w:sz w:val="20"/>
                <w:szCs w:val="20"/>
              </w:rPr>
            </w:pPr>
            <w:r w:rsidRPr="000738F2">
              <w:rPr>
                <w:rFonts w:cs="Arial"/>
                <w:b/>
                <w:sz w:val="20"/>
                <w:szCs w:val="20"/>
              </w:rPr>
              <w:t>Source</w:t>
            </w:r>
          </w:p>
        </w:tc>
        <w:tc>
          <w:tcPr>
            <w:tcW w:w="1520" w:type="dxa"/>
            <w:tcBorders>
              <w:top w:val="double" w:sz="4" w:space="0" w:color="auto"/>
              <w:left w:val="single" w:sz="4" w:space="0" w:color="auto"/>
              <w:bottom w:val="double" w:sz="4" w:space="0" w:color="auto"/>
              <w:right w:val="single" w:sz="4" w:space="0" w:color="auto"/>
            </w:tcBorders>
            <w:shd w:val="clear" w:color="auto" w:fill="D3E5F6" w:themeFill="accent3" w:themeFillTint="33"/>
            <w:noWrap/>
            <w:vAlign w:val="center"/>
            <w:hideMark/>
          </w:tcPr>
          <w:p w14:paraId="4D4712FD" w14:textId="77777777" w:rsidR="00EE5068" w:rsidRPr="000738F2" w:rsidRDefault="00EE5068" w:rsidP="00E26A16">
            <w:pPr>
              <w:jc w:val="center"/>
              <w:rPr>
                <w:rFonts w:cs="Arial"/>
                <w:b/>
                <w:sz w:val="20"/>
                <w:szCs w:val="20"/>
              </w:rPr>
            </w:pPr>
            <w:r w:rsidRPr="000738F2">
              <w:rPr>
                <w:rFonts w:cs="Arial"/>
                <w:b/>
                <w:sz w:val="20"/>
                <w:szCs w:val="20"/>
              </w:rPr>
              <w:t>Amount</w:t>
            </w:r>
          </w:p>
        </w:tc>
        <w:tc>
          <w:tcPr>
            <w:tcW w:w="7336" w:type="dxa"/>
            <w:tcBorders>
              <w:top w:val="double" w:sz="4" w:space="0" w:color="auto"/>
              <w:left w:val="single" w:sz="4" w:space="0" w:color="auto"/>
              <w:bottom w:val="double" w:sz="4" w:space="0" w:color="auto"/>
              <w:right w:val="double" w:sz="4" w:space="0" w:color="auto"/>
            </w:tcBorders>
            <w:shd w:val="clear" w:color="auto" w:fill="D3E5F6" w:themeFill="accent3" w:themeFillTint="33"/>
            <w:noWrap/>
            <w:vAlign w:val="center"/>
            <w:hideMark/>
          </w:tcPr>
          <w:p w14:paraId="3AB05A43" w14:textId="77777777" w:rsidR="00EE5068" w:rsidRPr="000738F2" w:rsidRDefault="00EE5068" w:rsidP="00E26A16">
            <w:pPr>
              <w:jc w:val="center"/>
              <w:rPr>
                <w:rFonts w:cs="Arial"/>
                <w:b/>
                <w:sz w:val="20"/>
                <w:szCs w:val="20"/>
              </w:rPr>
            </w:pPr>
            <w:r w:rsidRPr="000738F2">
              <w:rPr>
                <w:rFonts w:cs="Arial"/>
                <w:b/>
                <w:sz w:val="20"/>
                <w:szCs w:val="20"/>
              </w:rPr>
              <w:t>UPWP Subtasks</w:t>
            </w:r>
          </w:p>
        </w:tc>
      </w:tr>
      <w:bookmarkEnd w:id="1"/>
      <w:tr w:rsidR="00E966AA" w:rsidRPr="00CB0716" w14:paraId="7EE29547" w14:textId="77777777" w:rsidTr="00206E17">
        <w:trPr>
          <w:trHeight w:val="597"/>
          <w:jc w:val="center"/>
        </w:trPr>
        <w:tc>
          <w:tcPr>
            <w:tcW w:w="108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5D76C5D" w14:textId="77777777" w:rsidR="00EE5068" w:rsidRPr="000738F2" w:rsidRDefault="00EE5068" w:rsidP="00E26A16">
            <w:pPr>
              <w:rPr>
                <w:rFonts w:cs="Arial"/>
                <w:sz w:val="20"/>
                <w:szCs w:val="20"/>
              </w:rPr>
            </w:pPr>
            <w:r w:rsidRPr="000738F2">
              <w:rPr>
                <w:rFonts w:cs="Arial"/>
                <w:sz w:val="20"/>
                <w:szCs w:val="20"/>
              </w:rPr>
              <w:t>CMAQ</w:t>
            </w:r>
          </w:p>
        </w:tc>
        <w:tc>
          <w:tcPr>
            <w:tcW w:w="152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4651236" w14:textId="4DD21428" w:rsidR="00EE5068" w:rsidRPr="000738F2" w:rsidRDefault="00EE5068" w:rsidP="00E26A16">
            <w:pPr>
              <w:jc w:val="right"/>
              <w:rPr>
                <w:rFonts w:cs="Arial"/>
                <w:sz w:val="20"/>
                <w:szCs w:val="20"/>
              </w:rPr>
            </w:pPr>
            <w:r w:rsidRPr="000738F2">
              <w:rPr>
                <w:rFonts w:cs="Arial"/>
                <w:sz w:val="20"/>
                <w:szCs w:val="20"/>
              </w:rPr>
              <w:t>$1,257,000</w:t>
            </w:r>
          </w:p>
        </w:tc>
        <w:tc>
          <w:tcPr>
            <w:tcW w:w="7336"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1B98702B" w14:textId="50571EC7" w:rsidR="00EE5068" w:rsidRPr="000738F2" w:rsidRDefault="00EE5068" w:rsidP="00EE5068">
            <w:pPr>
              <w:tabs>
                <w:tab w:val="left" w:pos="613"/>
              </w:tabs>
              <w:ind w:left="610" w:hanging="610"/>
              <w:rPr>
                <w:rFonts w:cs="Arial"/>
                <w:sz w:val="20"/>
                <w:szCs w:val="20"/>
              </w:rPr>
            </w:pPr>
            <w:r w:rsidRPr="000738F2">
              <w:rPr>
                <w:rFonts w:cs="Arial"/>
                <w:sz w:val="20"/>
                <w:szCs w:val="20"/>
              </w:rPr>
              <w:t>1.01  Community Outreach – Increase $92,000</w:t>
            </w:r>
          </w:p>
          <w:p w14:paraId="64788711" w14:textId="39449B80" w:rsidR="00EE5068" w:rsidRPr="000738F2" w:rsidRDefault="00EE5068" w:rsidP="00EE5068">
            <w:pPr>
              <w:tabs>
                <w:tab w:val="left" w:pos="613"/>
              </w:tabs>
              <w:ind w:left="610" w:hanging="610"/>
              <w:rPr>
                <w:rFonts w:cs="Arial"/>
                <w:sz w:val="20"/>
                <w:szCs w:val="20"/>
              </w:rPr>
            </w:pPr>
            <w:r w:rsidRPr="000738F2">
              <w:rPr>
                <w:rFonts w:cs="Arial"/>
                <w:sz w:val="20"/>
                <w:szCs w:val="20"/>
              </w:rPr>
              <w:t>3.07  Congestion Management Operations – Increase $1,165,000</w:t>
            </w:r>
          </w:p>
        </w:tc>
      </w:tr>
      <w:tr w:rsidR="00EE5068" w:rsidRPr="00CB0716" w14:paraId="28821113" w14:textId="77777777" w:rsidTr="00206E17">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EFDF9D8" w14:textId="6898D8C5" w:rsidR="00EE5068" w:rsidRPr="000738F2" w:rsidRDefault="00EE5068" w:rsidP="00E26A16">
            <w:pPr>
              <w:rPr>
                <w:rFonts w:cs="Arial"/>
                <w:sz w:val="20"/>
                <w:szCs w:val="20"/>
              </w:rPr>
            </w:pPr>
            <w:r w:rsidRPr="000738F2">
              <w:rPr>
                <w:rFonts w:cs="Arial"/>
                <w:sz w:val="20"/>
                <w:szCs w:val="20"/>
              </w:rPr>
              <w:t>DOD</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C73B" w14:textId="6E5448E8" w:rsidR="00EE5068" w:rsidRPr="000738F2" w:rsidRDefault="00EE5068" w:rsidP="00E26A16">
            <w:pPr>
              <w:jc w:val="right"/>
              <w:rPr>
                <w:rFonts w:cs="Arial"/>
                <w:sz w:val="20"/>
                <w:szCs w:val="20"/>
              </w:rPr>
            </w:pPr>
            <w:r w:rsidRPr="000738F2">
              <w:rPr>
                <w:rFonts w:cs="Arial"/>
                <w:sz w:val="20"/>
                <w:szCs w:val="20"/>
              </w:rPr>
              <w:t>$</w:t>
            </w:r>
            <w:r w:rsidR="00BC436D" w:rsidRPr="000738F2">
              <w:rPr>
                <w:rFonts w:cs="Arial"/>
                <w:sz w:val="20"/>
                <w:szCs w:val="20"/>
              </w:rPr>
              <w:t>295,000</w:t>
            </w:r>
          </w:p>
        </w:tc>
        <w:tc>
          <w:tcPr>
            <w:tcW w:w="73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1F614A1" w14:textId="4C41CCC0" w:rsidR="00EE5068" w:rsidRPr="000738F2" w:rsidRDefault="00BC436D" w:rsidP="00E26A16">
            <w:pPr>
              <w:tabs>
                <w:tab w:val="left" w:pos="613"/>
              </w:tabs>
              <w:rPr>
                <w:rFonts w:cs="Arial"/>
                <w:sz w:val="20"/>
                <w:szCs w:val="20"/>
              </w:rPr>
            </w:pPr>
            <w:r w:rsidRPr="000738F2">
              <w:rPr>
                <w:rFonts w:cs="Arial"/>
                <w:sz w:val="20"/>
                <w:szCs w:val="20"/>
              </w:rPr>
              <w:t>5.09  Regional Military and Community Coordination – Increase $295,000</w:t>
            </w:r>
          </w:p>
        </w:tc>
      </w:tr>
      <w:tr w:rsidR="00EE5068" w:rsidRPr="00CB0716" w14:paraId="629C67C9" w14:textId="77777777" w:rsidTr="00206E17">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39E473A8" w14:textId="5C5335E7" w:rsidR="00EE5068" w:rsidRPr="00C667F3" w:rsidRDefault="00BC436D" w:rsidP="00E26A16">
            <w:pPr>
              <w:rPr>
                <w:rFonts w:cs="Arial"/>
                <w:sz w:val="20"/>
                <w:szCs w:val="20"/>
              </w:rPr>
            </w:pPr>
            <w:r w:rsidRPr="00C667F3">
              <w:rPr>
                <w:rFonts w:cs="Arial"/>
                <w:sz w:val="20"/>
                <w:szCs w:val="20"/>
              </w:rPr>
              <w:t>DOE</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C1A9" w14:textId="3DFBE101" w:rsidR="00E966AA" w:rsidRPr="00C667F3" w:rsidRDefault="00E966AA" w:rsidP="00E26A16">
            <w:pPr>
              <w:jc w:val="right"/>
              <w:rPr>
                <w:rFonts w:cs="Arial"/>
                <w:sz w:val="20"/>
                <w:szCs w:val="20"/>
              </w:rPr>
            </w:pPr>
            <w:r w:rsidRPr="00C667F3">
              <w:rPr>
                <w:rFonts w:cs="Arial"/>
                <w:sz w:val="20"/>
                <w:szCs w:val="20"/>
              </w:rPr>
              <w:t>$55,000</w:t>
            </w:r>
          </w:p>
        </w:tc>
        <w:tc>
          <w:tcPr>
            <w:tcW w:w="73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5532AC5" w14:textId="58920962" w:rsidR="00EE5068" w:rsidRPr="00C667F3" w:rsidRDefault="00BC436D" w:rsidP="00E26A16">
            <w:pPr>
              <w:tabs>
                <w:tab w:val="left" w:pos="613"/>
              </w:tabs>
              <w:rPr>
                <w:rFonts w:cs="Arial"/>
                <w:sz w:val="20"/>
                <w:szCs w:val="20"/>
              </w:rPr>
            </w:pPr>
            <w:r w:rsidRPr="00C667F3">
              <w:rPr>
                <w:rFonts w:cs="Arial"/>
                <w:sz w:val="20"/>
                <w:szCs w:val="20"/>
              </w:rPr>
              <w:t xml:space="preserve">3.03  Air Quality Management and Operations – Increase </w:t>
            </w:r>
            <w:r w:rsidR="00E966AA" w:rsidRPr="00C667F3">
              <w:rPr>
                <w:rFonts w:cs="Arial"/>
                <w:sz w:val="20"/>
                <w:szCs w:val="20"/>
              </w:rPr>
              <w:t>$55,000</w:t>
            </w:r>
          </w:p>
        </w:tc>
      </w:tr>
      <w:tr w:rsidR="00206E17" w:rsidRPr="00CB0716" w14:paraId="68D7272E" w14:textId="77777777" w:rsidTr="00206E17">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213F569" w14:textId="7D46B9EF" w:rsidR="00206E17" w:rsidRPr="000738F2" w:rsidRDefault="00206E17" w:rsidP="00206E17">
            <w:pPr>
              <w:rPr>
                <w:rFonts w:cs="Arial"/>
                <w:sz w:val="20"/>
                <w:szCs w:val="20"/>
              </w:rPr>
            </w:pPr>
            <w:r w:rsidRPr="000738F2">
              <w:rPr>
                <w:rFonts w:cs="Arial"/>
                <w:sz w:val="20"/>
                <w:szCs w:val="20"/>
              </w:rPr>
              <w:t>FHWA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A71AC" w14:textId="1035FFBE" w:rsidR="00206E17" w:rsidRPr="000738F2" w:rsidRDefault="00206E17" w:rsidP="00206E17">
            <w:pPr>
              <w:jc w:val="right"/>
              <w:rPr>
                <w:rFonts w:cs="Arial"/>
                <w:sz w:val="20"/>
                <w:szCs w:val="20"/>
              </w:rPr>
            </w:pPr>
            <w:r w:rsidRPr="000738F2">
              <w:rPr>
                <w:rFonts w:cs="Arial"/>
                <w:sz w:val="20"/>
                <w:szCs w:val="20"/>
              </w:rPr>
              <w:t>$1,400,885</w:t>
            </w:r>
          </w:p>
        </w:tc>
        <w:tc>
          <w:tcPr>
            <w:tcW w:w="73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5A7939F" w14:textId="62B27B34" w:rsidR="00206E17" w:rsidRPr="000738F2" w:rsidRDefault="00206E17" w:rsidP="00206E17">
            <w:pPr>
              <w:tabs>
                <w:tab w:val="left" w:pos="613"/>
              </w:tabs>
              <w:rPr>
                <w:rFonts w:cs="Arial"/>
                <w:sz w:val="20"/>
                <w:szCs w:val="20"/>
              </w:rPr>
            </w:pPr>
            <w:r w:rsidRPr="000738F2">
              <w:rPr>
                <w:rFonts w:cs="Arial"/>
                <w:sz w:val="20"/>
                <w:szCs w:val="20"/>
              </w:rPr>
              <w:t>3.03  Air Quality Management and Operations – Increase $1,400,885</w:t>
            </w:r>
          </w:p>
        </w:tc>
      </w:tr>
      <w:tr w:rsidR="00E966AA" w:rsidRPr="00CB0716" w14:paraId="15FF2E67" w14:textId="77777777" w:rsidTr="00206E17">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CA4A4D4" w14:textId="77777777" w:rsidR="00206E17" w:rsidRPr="000738F2" w:rsidRDefault="00206E17" w:rsidP="00206E17">
            <w:pPr>
              <w:rPr>
                <w:rFonts w:cs="Arial"/>
                <w:sz w:val="20"/>
                <w:szCs w:val="20"/>
              </w:rPr>
            </w:pPr>
            <w:r w:rsidRPr="000738F2">
              <w:rPr>
                <w:rFonts w:cs="Arial"/>
                <w:sz w:val="20"/>
                <w:szCs w:val="20"/>
              </w:rPr>
              <w:t>FTA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44B22" w14:textId="1FB2CA2B" w:rsidR="00206E17" w:rsidRPr="000738F2" w:rsidRDefault="00206E17" w:rsidP="00206E17">
            <w:pPr>
              <w:jc w:val="right"/>
              <w:rPr>
                <w:rFonts w:cs="Arial"/>
                <w:sz w:val="20"/>
                <w:szCs w:val="20"/>
              </w:rPr>
            </w:pPr>
            <w:r w:rsidRPr="000738F2">
              <w:rPr>
                <w:rFonts w:cs="Arial"/>
                <w:sz w:val="20"/>
                <w:szCs w:val="20"/>
              </w:rPr>
              <w:t>$10,980,740</w:t>
            </w:r>
          </w:p>
        </w:tc>
        <w:tc>
          <w:tcPr>
            <w:tcW w:w="7336"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58C2D82" w14:textId="30907992" w:rsidR="00206E17" w:rsidRPr="000738F2" w:rsidRDefault="00206E17" w:rsidP="00206E17">
            <w:pPr>
              <w:tabs>
                <w:tab w:val="left" w:pos="613"/>
              </w:tabs>
              <w:rPr>
                <w:rFonts w:cs="Arial"/>
                <w:sz w:val="20"/>
                <w:szCs w:val="20"/>
              </w:rPr>
            </w:pPr>
            <w:r w:rsidRPr="000738F2">
              <w:rPr>
                <w:rFonts w:cs="Arial"/>
                <w:sz w:val="20"/>
                <w:szCs w:val="20"/>
              </w:rPr>
              <w:t>3.04  Public Transportation Planning – Increase $197,300</w:t>
            </w:r>
          </w:p>
          <w:p w14:paraId="43D32354" w14:textId="1A928587" w:rsidR="00206E17" w:rsidRPr="000738F2" w:rsidRDefault="00206E17" w:rsidP="00206E17">
            <w:pPr>
              <w:tabs>
                <w:tab w:val="left" w:pos="613"/>
              </w:tabs>
              <w:ind w:left="610" w:hanging="610"/>
              <w:rPr>
                <w:rFonts w:cs="Arial"/>
                <w:sz w:val="20"/>
                <w:szCs w:val="20"/>
              </w:rPr>
            </w:pPr>
            <w:r w:rsidRPr="000738F2">
              <w:rPr>
                <w:rFonts w:cs="Arial"/>
                <w:sz w:val="20"/>
                <w:szCs w:val="20"/>
              </w:rPr>
              <w:t>3.05  Transit Management and Operations – Increase $10,783,440</w:t>
            </w:r>
          </w:p>
        </w:tc>
      </w:tr>
      <w:tr w:rsidR="00E966AA" w:rsidRPr="00CB0716" w14:paraId="7A273358" w14:textId="77777777" w:rsidTr="00206E17">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9A3D392" w14:textId="77777777" w:rsidR="000738F2" w:rsidRPr="000738F2" w:rsidRDefault="000738F2" w:rsidP="000738F2">
            <w:pPr>
              <w:rPr>
                <w:rFonts w:cs="Arial"/>
                <w:sz w:val="20"/>
                <w:szCs w:val="20"/>
              </w:rPr>
            </w:pPr>
            <w:r w:rsidRPr="000738F2">
              <w:rPr>
                <w:rFonts w:cs="Arial"/>
                <w:sz w:val="20"/>
                <w:szCs w:val="20"/>
              </w:rPr>
              <w:t>Local</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840C" w14:textId="0F58F81A" w:rsidR="001707EB" w:rsidRPr="001707EB" w:rsidRDefault="001707EB" w:rsidP="000738F2">
            <w:pPr>
              <w:jc w:val="right"/>
              <w:rPr>
                <w:rFonts w:cs="Arial"/>
                <w:sz w:val="20"/>
                <w:szCs w:val="20"/>
              </w:rPr>
            </w:pPr>
            <w:r w:rsidRPr="0032248A">
              <w:rPr>
                <w:rFonts w:cs="Arial"/>
                <w:sz w:val="20"/>
                <w:szCs w:val="20"/>
              </w:rPr>
              <w:t>$</w:t>
            </w:r>
            <w:r w:rsidR="0032248A" w:rsidRPr="0032248A">
              <w:rPr>
                <w:rFonts w:cs="Arial"/>
                <w:sz w:val="20"/>
                <w:szCs w:val="20"/>
              </w:rPr>
              <w:t>7,486,100</w:t>
            </w:r>
          </w:p>
        </w:tc>
        <w:tc>
          <w:tcPr>
            <w:tcW w:w="7336"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16BFD1B" w14:textId="392D907D" w:rsidR="000738F2" w:rsidRPr="000738F2" w:rsidRDefault="000738F2" w:rsidP="000738F2">
            <w:pPr>
              <w:tabs>
                <w:tab w:val="left" w:pos="613"/>
              </w:tabs>
              <w:rPr>
                <w:rFonts w:cs="Arial"/>
                <w:sz w:val="20"/>
                <w:szCs w:val="20"/>
              </w:rPr>
            </w:pPr>
            <w:r>
              <w:rPr>
                <w:rFonts w:cs="Arial"/>
                <w:sz w:val="20"/>
                <w:szCs w:val="20"/>
              </w:rPr>
              <w:t>1.02</w:t>
            </w:r>
            <w:r w:rsidRPr="000738F2">
              <w:rPr>
                <w:rFonts w:cs="Arial"/>
                <w:sz w:val="20"/>
                <w:szCs w:val="20"/>
              </w:rPr>
              <w:t xml:space="preserve">  </w:t>
            </w:r>
            <w:r>
              <w:rPr>
                <w:rFonts w:cs="Arial"/>
                <w:sz w:val="20"/>
                <w:szCs w:val="20"/>
              </w:rPr>
              <w:t>Program and Policy Administration</w:t>
            </w:r>
            <w:r w:rsidRPr="000738F2">
              <w:rPr>
                <w:rFonts w:cs="Arial"/>
                <w:sz w:val="20"/>
                <w:szCs w:val="20"/>
              </w:rPr>
              <w:t xml:space="preserve"> – Increase $</w:t>
            </w:r>
            <w:r>
              <w:rPr>
                <w:rFonts w:cs="Arial"/>
                <w:sz w:val="20"/>
                <w:szCs w:val="20"/>
              </w:rPr>
              <w:t>61</w:t>
            </w:r>
            <w:r w:rsidRPr="000738F2">
              <w:rPr>
                <w:rFonts w:cs="Arial"/>
                <w:sz w:val="20"/>
                <w:szCs w:val="20"/>
              </w:rPr>
              <w:t>,300</w:t>
            </w:r>
          </w:p>
          <w:p w14:paraId="46221682" w14:textId="47D806B8" w:rsidR="000738F2" w:rsidRDefault="000738F2" w:rsidP="000738F2">
            <w:pPr>
              <w:tabs>
                <w:tab w:val="left" w:pos="613"/>
              </w:tabs>
              <w:ind w:left="610" w:hanging="610"/>
              <w:rPr>
                <w:rFonts w:cs="Arial"/>
                <w:sz w:val="20"/>
                <w:szCs w:val="20"/>
              </w:rPr>
            </w:pPr>
            <w:r>
              <w:rPr>
                <w:rFonts w:cs="Arial"/>
                <w:sz w:val="20"/>
                <w:szCs w:val="20"/>
              </w:rPr>
              <w:t>1.04</w:t>
            </w:r>
            <w:r w:rsidRPr="000738F2">
              <w:rPr>
                <w:rFonts w:cs="Arial"/>
                <w:sz w:val="20"/>
                <w:szCs w:val="20"/>
              </w:rPr>
              <w:t xml:space="preserve">  </w:t>
            </w:r>
            <w:r>
              <w:rPr>
                <w:rFonts w:cs="Arial"/>
                <w:sz w:val="20"/>
                <w:szCs w:val="20"/>
              </w:rPr>
              <w:t>Computer and Audio/Video Resources</w:t>
            </w:r>
            <w:r w:rsidRPr="000738F2">
              <w:rPr>
                <w:rFonts w:cs="Arial"/>
                <w:sz w:val="20"/>
                <w:szCs w:val="20"/>
              </w:rPr>
              <w:t xml:space="preserve"> – Increase $</w:t>
            </w:r>
            <w:r>
              <w:rPr>
                <w:rFonts w:cs="Arial"/>
                <w:sz w:val="20"/>
                <w:szCs w:val="20"/>
              </w:rPr>
              <w:t>447,500</w:t>
            </w:r>
          </w:p>
          <w:p w14:paraId="6887382C" w14:textId="33154954" w:rsidR="000738F2" w:rsidRPr="0032248A" w:rsidRDefault="000738F2" w:rsidP="000738F2">
            <w:pPr>
              <w:tabs>
                <w:tab w:val="left" w:pos="613"/>
              </w:tabs>
              <w:ind w:left="610" w:hanging="610"/>
              <w:rPr>
                <w:rFonts w:cs="Arial"/>
                <w:sz w:val="20"/>
                <w:szCs w:val="20"/>
              </w:rPr>
            </w:pPr>
            <w:r w:rsidRPr="0032248A">
              <w:rPr>
                <w:rFonts w:cs="Arial"/>
                <w:sz w:val="20"/>
                <w:szCs w:val="20"/>
              </w:rPr>
              <w:t>3.03  Air Quality Management and Operations – Increase $</w:t>
            </w:r>
            <w:r w:rsidR="00FB1603" w:rsidRPr="0032248A">
              <w:rPr>
                <w:rFonts w:cs="Arial"/>
                <w:sz w:val="20"/>
                <w:szCs w:val="20"/>
              </w:rPr>
              <w:t>3</w:t>
            </w:r>
            <w:r w:rsidR="0032248A" w:rsidRPr="0032248A">
              <w:rPr>
                <w:rFonts w:cs="Arial"/>
                <w:sz w:val="20"/>
                <w:szCs w:val="20"/>
              </w:rPr>
              <w:t>4</w:t>
            </w:r>
            <w:r w:rsidR="00FB1603" w:rsidRPr="0032248A">
              <w:rPr>
                <w:rFonts w:cs="Arial"/>
                <w:sz w:val="20"/>
                <w:szCs w:val="20"/>
              </w:rPr>
              <w:t>6,000</w:t>
            </w:r>
          </w:p>
          <w:p w14:paraId="4B48E78F" w14:textId="7B48A516" w:rsidR="00E966AA" w:rsidRPr="00E966AA" w:rsidRDefault="00E966AA" w:rsidP="000738F2">
            <w:pPr>
              <w:tabs>
                <w:tab w:val="left" w:pos="613"/>
              </w:tabs>
              <w:ind w:left="610" w:hanging="610"/>
              <w:rPr>
                <w:rFonts w:cs="Arial"/>
                <w:color w:val="FF0000"/>
                <w:sz w:val="20"/>
                <w:szCs w:val="20"/>
              </w:rPr>
            </w:pPr>
            <w:r w:rsidRPr="0032248A">
              <w:rPr>
                <w:rFonts w:cs="Arial"/>
                <w:sz w:val="20"/>
                <w:szCs w:val="20"/>
              </w:rPr>
              <w:t>3.05  Transit Management and Operations – Increase $856,300</w:t>
            </w:r>
          </w:p>
          <w:p w14:paraId="113B0B85" w14:textId="6707E388" w:rsidR="00701A62" w:rsidRDefault="00701A62" w:rsidP="000738F2">
            <w:pPr>
              <w:tabs>
                <w:tab w:val="left" w:pos="613"/>
              </w:tabs>
              <w:ind w:left="610" w:hanging="610"/>
              <w:rPr>
                <w:rFonts w:cs="Arial"/>
                <w:sz w:val="20"/>
                <w:szCs w:val="20"/>
              </w:rPr>
            </w:pPr>
            <w:r>
              <w:rPr>
                <w:rFonts w:cs="Arial"/>
                <w:sz w:val="20"/>
                <w:szCs w:val="20"/>
              </w:rPr>
              <w:t>4.02  Coordination of Transportation and Environmental Planning Processes – Increase $5,000</w:t>
            </w:r>
          </w:p>
          <w:p w14:paraId="0F576F45" w14:textId="7A25A515" w:rsidR="000738F2" w:rsidRDefault="000738F2" w:rsidP="000738F2">
            <w:pPr>
              <w:tabs>
                <w:tab w:val="left" w:pos="613"/>
              </w:tabs>
              <w:ind w:left="610" w:hanging="610"/>
              <w:rPr>
                <w:rFonts w:cs="Arial"/>
                <w:sz w:val="20"/>
                <w:szCs w:val="20"/>
              </w:rPr>
            </w:pPr>
            <w:r>
              <w:rPr>
                <w:rFonts w:cs="Arial"/>
                <w:sz w:val="20"/>
                <w:szCs w:val="20"/>
              </w:rPr>
              <w:t>5.06  Regional Freight Planning – Increase $4,982,600</w:t>
            </w:r>
          </w:p>
          <w:p w14:paraId="37C1A8E7" w14:textId="6F8ADC60" w:rsidR="000738F2" w:rsidRPr="0032248A" w:rsidRDefault="000738F2" w:rsidP="000738F2">
            <w:pPr>
              <w:tabs>
                <w:tab w:val="left" w:pos="613"/>
              </w:tabs>
              <w:ind w:left="610" w:hanging="610"/>
              <w:rPr>
                <w:rFonts w:cs="Arial"/>
                <w:sz w:val="20"/>
                <w:szCs w:val="20"/>
              </w:rPr>
            </w:pPr>
            <w:r w:rsidRPr="0032248A">
              <w:rPr>
                <w:rFonts w:cs="Arial"/>
                <w:sz w:val="20"/>
                <w:szCs w:val="20"/>
              </w:rPr>
              <w:t xml:space="preserve">5.09  Regional Military and Community Coordination – Increase </w:t>
            </w:r>
            <w:r w:rsidR="00701A62" w:rsidRPr="0032248A">
              <w:rPr>
                <w:rFonts w:cs="Arial"/>
                <w:sz w:val="20"/>
                <w:szCs w:val="20"/>
              </w:rPr>
              <w:t>$</w:t>
            </w:r>
            <w:r w:rsidRPr="0032248A">
              <w:rPr>
                <w:rFonts w:cs="Arial"/>
                <w:sz w:val="20"/>
                <w:szCs w:val="20"/>
              </w:rPr>
              <w:t>55,000</w:t>
            </w:r>
          </w:p>
          <w:p w14:paraId="1BB76EBA" w14:textId="3D354FFA" w:rsidR="000738F2" w:rsidRPr="0032248A" w:rsidRDefault="000738F2" w:rsidP="000738F2">
            <w:pPr>
              <w:tabs>
                <w:tab w:val="left" w:pos="613"/>
              </w:tabs>
              <w:ind w:left="610" w:hanging="610"/>
              <w:rPr>
                <w:rFonts w:cs="Arial"/>
                <w:sz w:val="20"/>
                <w:szCs w:val="20"/>
              </w:rPr>
            </w:pPr>
            <w:r w:rsidRPr="0032248A">
              <w:rPr>
                <w:rFonts w:cs="Arial"/>
                <w:sz w:val="20"/>
                <w:szCs w:val="20"/>
              </w:rPr>
              <w:t xml:space="preserve">5.09  Regional Military and Community Coordination  -- Increase </w:t>
            </w:r>
            <w:r w:rsidR="00701A62" w:rsidRPr="0032248A">
              <w:rPr>
                <w:rFonts w:cs="Arial"/>
                <w:sz w:val="20"/>
                <w:szCs w:val="20"/>
              </w:rPr>
              <w:t>$</w:t>
            </w:r>
            <w:r w:rsidRPr="0032248A">
              <w:rPr>
                <w:rFonts w:cs="Arial"/>
                <w:sz w:val="20"/>
                <w:szCs w:val="20"/>
              </w:rPr>
              <w:t>328,400</w:t>
            </w:r>
          </w:p>
          <w:p w14:paraId="7AC6E024" w14:textId="4ABAAD2E" w:rsidR="00701A62" w:rsidRDefault="00701A62" w:rsidP="000738F2">
            <w:pPr>
              <w:tabs>
                <w:tab w:val="left" w:pos="613"/>
              </w:tabs>
              <w:ind w:left="610" w:hanging="610"/>
              <w:rPr>
                <w:rFonts w:cs="Arial"/>
                <w:sz w:val="20"/>
                <w:szCs w:val="20"/>
              </w:rPr>
            </w:pPr>
            <w:r w:rsidRPr="0032248A">
              <w:rPr>
                <w:rFonts w:cs="Arial"/>
                <w:sz w:val="20"/>
                <w:szCs w:val="20"/>
              </w:rPr>
              <w:t>5.09  Regional Military and Community Coordination  -- Increase $149,000</w:t>
            </w:r>
          </w:p>
          <w:p w14:paraId="4E6B018C" w14:textId="76928F28" w:rsidR="000738F2" w:rsidRPr="000738F2" w:rsidRDefault="00701A62" w:rsidP="00701A62">
            <w:pPr>
              <w:tabs>
                <w:tab w:val="left" w:pos="613"/>
              </w:tabs>
              <w:ind w:left="610" w:hanging="610"/>
              <w:rPr>
                <w:rFonts w:cs="Arial"/>
                <w:sz w:val="20"/>
                <w:szCs w:val="20"/>
              </w:rPr>
            </w:pPr>
            <w:r>
              <w:rPr>
                <w:rFonts w:cs="Arial"/>
                <w:sz w:val="20"/>
                <w:szCs w:val="20"/>
              </w:rPr>
              <w:t>5.12  Red River Navigation System Feasibility Study – Increase $255,000</w:t>
            </w:r>
          </w:p>
        </w:tc>
      </w:tr>
    </w:tbl>
    <w:p w14:paraId="5E8F61D0" w14:textId="77777777" w:rsidR="00954E76" w:rsidRDefault="00954E76"/>
    <w:p w14:paraId="7AAC3F3A" w14:textId="77777777" w:rsidR="00954E76" w:rsidRDefault="00954E76"/>
    <w:p w14:paraId="3E67B04F" w14:textId="77777777" w:rsidR="0032248A" w:rsidRDefault="0032248A">
      <w:pPr>
        <w:spacing w:after="160" w:line="259" w:lineRule="auto"/>
        <w:rPr>
          <w:rFonts w:cs="Arial"/>
          <w:b/>
          <w:bCs/>
        </w:rPr>
      </w:pPr>
      <w:r>
        <w:rPr>
          <w:rFonts w:cs="Arial"/>
          <w:b/>
          <w:bCs/>
        </w:rPr>
        <w:br w:type="page"/>
      </w:r>
    </w:p>
    <w:p w14:paraId="7DB1E9D9" w14:textId="02C443BF" w:rsidR="00954E76" w:rsidRDefault="00954E76" w:rsidP="00954E76">
      <w:pPr>
        <w:jc w:val="center"/>
        <w:rPr>
          <w:rFonts w:cs="Arial"/>
          <w:b/>
          <w:bCs/>
        </w:rPr>
      </w:pPr>
      <w:r w:rsidRPr="00CB0716">
        <w:rPr>
          <w:rFonts w:cs="Arial"/>
          <w:b/>
          <w:bCs/>
        </w:rPr>
        <w:lastRenderedPageBreak/>
        <w:t>Non–TPF FY202</w:t>
      </w:r>
      <w:r>
        <w:rPr>
          <w:rFonts w:cs="Arial"/>
          <w:b/>
          <w:bCs/>
        </w:rPr>
        <w:t>5</w:t>
      </w:r>
      <w:r w:rsidRPr="00CB0716">
        <w:rPr>
          <w:rFonts w:cs="Arial"/>
          <w:b/>
          <w:bCs/>
        </w:rPr>
        <w:t xml:space="preserve"> Budget Adjustments</w:t>
      </w:r>
      <w:r>
        <w:rPr>
          <w:rFonts w:cs="Arial"/>
          <w:b/>
          <w:bCs/>
        </w:rPr>
        <w:t xml:space="preserve"> (Continued)</w:t>
      </w:r>
    </w:p>
    <w:p w14:paraId="5873EEFA" w14:textId="77777777" w:rsidR="00954E76" w:rsidRDefault="00954E76" w:rsidP="00954E76">
      <w:pPr>
        <w:jc w:val="center"/>
        <w:rPr>
          <w:rFonts w:cs="Arial"/>
          <w:b/>
          <w:bCs/>
        </w:rPr>
      </w:pPr>
    </w:p>
    <w:tbl>
      <w:tblPr>
        <w:tblW w:w="993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80"/>
        <w:gridCol w:w="1520"/>
        <w:gridCol w:w="7336"/>
      </w:tblGrid>
      <w:tr w:rsidR="00954E76" w:rsidRPr="000738F2" w14:paraId="452689FF" w14:textId="77777777" w:rsidTr="009E54F3">
        <w:trPr>
          <w:trHeight w:val="647"/>
          <w:jc w:val="center"/>
        </w:trPr>
        <w:tc>
          <w:tcPr>
            <w:tcW w:w="1080" w:type="dxa"/>
            <w:tcBorders>
              <w:top w:val="double" w:sz="4" w:space="0" w:color="auto"/>
              <w:left w:val="double" w:sz="4" w:space="0" w:color="auto"/>
              <w:bottom w:val="double" w:sz="4" w:space="0" w:color="auto"/>
              <w:right w:val="single" w:sz="4" w:space="0" w:color="auto"/>
            </w:tcBorders>
            <w:shd w:val="clear" w:color="auto" w:fill="D3E5F6" w:themeFill="accent3" w:themeFillTint="33"/>
            <w:noWrap/>
            <w:vAlign w:val="center"/>
            <w:hideMark/>
          </w:tcPr>
          <w:p w14:paraId="08248577" w14:textId="77777777" w:rsidR="00954E76" w:rsidRPr="000738F2" w:rsidRDefault="00954E76" w:rsidP="009E54F3">
            <w:pPr>
              <w:jc w:val="center"/>
              <w:rPr>
                <w:rFonts w:cs="Arial"/>
                <w:b/>
                <w:sz w:val="20"/>
                <w:szCs w:val="20"/>
              </w:rPr>
            </w:pPr>
            <w:r w:rsidRPr="000738F2">
              <w:rPr>
                <w:rFonts w:cs="Arial"/>
                <w:b/>
                <w:sz w:val="20"/>
                <w:szCs w:val="20"/>
              </w:rPr>
              <w:t>Funding</w:t>
            </w:r>
          </w:p>
          <w:p w14:paraId="7C20E7CA" w14:textId="77777777" w:rsidR="00954E76" w:rsidRPr="000738F2" w:rsidRDefault="00954E76" w:rsidP="009E54F3">
            <w:pPr>
              <w:jc w:val="center"/>
              <w:rPr>
                <w:rFonts w:cs="Arial"/>
                <w:b/>
                <w:sz w:val="20"/>
                <w:szCs w:val="20"/>
              </w:rPr>
            </w:pPr>
            <w:r w:rsidRPr="000738F2">
              <w:rPr>
                <w:rFonts w:cs="Arial"/>
                <w:b/>
                <w:sz w:val="20"/>
                <w:szCs w:val="20"/>
              </w:rPr>
              <w:t>Source</w:t>
            </w:r>
          </w:p>
        </w:tc>
        <w:tc>
          <w:tcPr>
            <w:tcW w:w="1520" w:type="dxa"/>
            <w:tcBorders>
              <w:top w:val="double" w:sz="4" w:space="0" w:color="auto"/>
              <w:left w:val="single" w:sz="4" w:space="0" w:color="auto"/>
              <w:bottom w:val="double" w:sz="4" w:space="0" w:color="auto"/>
              <w:right w:val="single" w:sz="4" w:space="0" w:color="auto"/>
            </w:tcBorders>
            <w:shd w:val="clear" w:color="auto" w:fill="D3E5F6" w:themeFill="accent3" w:themeFillTint="33"/>
            <w:noWrap/>
            <w:vAlign w:val="center"/>
            <w:hideMark/>
          </w:tcPr>
          <w:p w14:paraId="15692E1E" w14:textId="77777777" w:rsidR="00954E76" w:rsidRPr="000738F2" w:rsidRDefault="00954E76" w:rsidP="009E54F3">
            <w:pPr>
              <w:jc w:val="center"/>
              <w:rPr>
                <w:rFonts w:cs="Arial"/>
                <w:b/>
                <w:sz w:val="20"/>
                <w:szCs w:val="20"/>
              </w:rPr>
            </w:pPr>
            <w:r w:rsidRPr="000738F2">
              <w:rPr>
                <w:rFonts w:cs="Arial"/>
                <w:b/>
                <w:sz w:val="20"/>
                <w:szCs w:val="20"/>
              </w:rPr>
              <w:t>Amount</w:t>
            </w:r>
          </w:p>
        </w:tc>
        <w:tc>
          <w:tcPr>
            <w:tcW w:w="7336" w:type="dxa"/>
            <w:tcBorders>
              <w:top w:val="double" w:sz="4" w:space="0" w:color="auto"/>
              <w:left w:val="single" w:sz="4" w:space="0" w:color="auto"/>
              <w:bottom w:val="double" w:sz="4" w:space="0" w:color="auto"/>
              <w:right w:val="double" w:sz="4" w:space="0" w:color="auto"/>
            </w:tcBorders>
            <w:shd w:val="clear" w:color="auto" w:fill="D3E5F6" w:themeFill="accent3" w:themeFillTint="33"/>
            <w:noWrap/>
            <w:vAlign w:val="center"/>
            <w:hideMark/>
          </w:tcPr>
          <w:p w14:paraId="7F1AE094" w14:textId="77777777" w:rsidR="00954E76" w:rsidRPr="000738F2" w:rsidRDefault="00954E76" w:rsidP="009E54F3">
            <w:pPr>
              <w:jc w:val="center"/>
              <w:rPr>
                <w:rFonts w:cs="Arial"/>
                <w:b/>
                <w:sz w:val="20"/>
                <w:szCs w:val="20"/>
              </w:rPr>
            </w:pPr>
            <w:r w:rsidRPr="000738F2">
              <w:rPr>
                <w:rFonts w:cs="Arial"/>
                <w:b/>
                <w:sz w:val="20"/>
                <w:szCs w:val="20"/>
              </w:rPr>
              <w:t>UPWP Subtasks</w:t>
            </w:r>
          </w:p>
        </w:tc>
      </w:tr>
      <w:tr w:rsidR="00701A62" w:rsidRPr="00CB0716" w14:paraId="10C45BF3" w14:textId="77777777" w:rsidTr="00954E76">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ADC54CA" w14:textId="1D9E2EBF" w:rsidR="00701A62" w:rsidRPr="000738F2" w:rsidRDefault="00701A62" w:rsidP="000738F2">
            <w:pPr>
              <w:rPr>
                <w:rFonts w:cs="Arial"/>
                <w:sz w:val="20"/>
                <w:szCs w:val="20"/>
              </w:rPr>
            </w:pPr>
            <w:r>
              <w:rPr>
                <w:rFonts w:cs="Arial"/>
                <w:sz w:val="20"/>
                <w:szCs w:val="20"/>
              </w:rPr>
              <w:t>NTTA</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DC683" w14:textId="702A88A4" w:rsidR="00701A62" w:rsidRPr="000738F2" w:rsidRDefault="00701A62" w:rsidP="000738F2">
            <w:pPr>
              <w:jc w:val="right"/>
              <w:rPr>
                <w:rFonts w:cs="Arial"/>
                <w:sz w:val="20"/>
                <w:szCs w:val="20"/>
              </w:rPr>
            </w:pPr>
            <w:r>
              <w:rPr>
                <w:rFonts w:cs="Arial"/>
                <w:sz w:val="20"/>
                <w:szCs w:val="20"/>
              </w:rPr>
              <w:t>$15,000</w:t>
            </w:r>
          </w:p>
        </w:tc>
        <w:tc>
          <w:tcPr>
            <w:tcW w:w="7336" w:type="dxa"/>
            <w:tcBorders>
              <w:top w:val="single" w:sz="4" w:space="0" w:color="auto"/>
              <w:left w:val="single" w:sz="4" w:space="0" w:color="auto"/>
              <w:bottom w:val="single" w:sz="4" w:space="0" w:color="auto"/>
              <w:right w:val="double" w:sz="4" w:space="0" w:color="auto"/>
            </w:tcBorders>
            <w:shd w:val="clear" w:color="auto" w:fill="auto"/>
            <w:vAlign w:val="center"/>
          </w:tcPr>
          <w:p w14:paraId="32A5769E" w14:textId="22CCFB0B" w:rsidR="00701A62" w:rsidRPr="000738F2" w:rsidRDefault="00701A62" w:rsidP="000738F2">
            <w:pPr>
              <w:tabs>
                <w:tab w:val="left" w:pos="613"/>
              </w:tabs>
              <w:ind w:left="610" w:hanging="610"/>
              <w:rPr>
                <w:rFonts w:cs="Arial"/>
                <w:sz w:val="20"/>
                <w:szCs w:val="20"/>
              </w:rPr>
            </w:pPr>
            <w:r>
              <w:rPr>
                <w:rFonts w:cs="Arial"/>
                <w:sz w:val="20"/>
                <w:szCs w:val="20"/>
              </w:rPr>
              <w:t>5.01  Regional Transportation Studies – Increase $15,000</w:t>
            </w:r>
          </w:p>
        </w:tc>
      </w:tr>
      <w:tr w:rsidR="00E966AA" w:rsidRPr="00CB0716" w14:paraId="090568F5" w14:textId="77777777" w:rsidTr="00954E76">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CE9AEDB" w14:textId="77777777" w:rsidR="000738F2" w:rsidRPr="000738F2" w:rsidRDefault="000738F2" w:rsidP="000738F2">
            <w:pPr>
              <w:rPr>
                <w:rFonts w:cs="Arial"/>
                <w:sz w:val="20"/>
                <w:szCs w:val="20"/>
              </w:rPr>
            </w:pPr>
            <w:r w:rsidRPr="000738F2">
              <w:rPr>
                <w:rFonts w:cs="Arial"/>
                <w:sz w:val="20"/>
                <w:szCs w:val="20"/>
              </w:rPr>
              <w:t>RTR</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5D303" w14:textId="6725DEE4" w:rsidR="000738F2" w:rsidRPr="000738F2" w:rsidRDefault="000738F2" w:rsidP="000738F2">
            <w:pPr>
              <w:jc w:val="right"/>
              <w:rPr>
                <w:rFonts w:cs="Arial"/>
                <w:sz w:val="20"/>
                <w:szCs w:val="20"/>
              </w:rPr>
            </w:pPr>
            <w:r w:rsidRPr="000738F2">
              <w:rPr>
                <w:rFonts w:cs="Arial"/>
                <w:sz w:val="20"/>
                <w:szCs w:val="20"/>
              </w:rPr>
              <w:t>$</w:t>
            </w:r>
            <w:r w:rsidR="00701A62">
              <w:rPr>
                <w:rFonts w:cs="Arial"/>
                <w:sz w:val="20"/>
                <w:szCs w:val="20"/>
              </w:rPr>
              <w:t>64</w:t>
            </w:r>
            <w:r w:rsidRPr="000738F2">
              <w:rPr>
                <w:rFonts w:cs="Arial"/>
                <w:sz w:val="20"/>
                <w:szCs w:val="20"/>
              </w:rPr>
              <w:t>0,000</w:t>
            </w:r>
          </w:p>
        </w:tc>
        <w:tc>
          <w:tcPr>
            <w:tcW w:w="7336" w:type="dxa"/>
            <w:tcBorders>
              <w:top w:val="single" w:sz="4" w:space="0" w:color="auto"/>
              <w:left w:val="single" w:sz="4" w:space="0" w:color="auto"/>
              <w:bottom w:val="single" w:sz="4" w:space="0" w:color="auto"/>
              <w:right w:val="double" w:sz="4" w:space="0" w:color="auto"/>
            </w:tcBorders>
            <w:shd w:val="clear" w:color="auto" w:fill="auto"/>
            <w:vAlign w:val="center"/>
          </w:tcPr>
          <w:p w14:paraId="0EC5113F" w14:textId="0766F420" w:rsidR="00701A62" w:rsidRPr="000738F2" w:rsidRDefault="00701A62" w:rsidP="00701A62">
            <w:pPr>
              <w:tabs>
                <w:tab w:val="left" w:pos="613"/>
              </w:tabs>
              <w:rPr>
                <w:rFonts w:cs="Arial"/>
                <w:sz w:val="20"/>
                <w:szCs w:val="20"/>
              </w:rPr>
            </w:pPr>
            <w:r>
              <w:rPr>
                <w:rFonts w:cs="Arial"/>
                <w:sz w:val="20"/>
                <w:szCs w:val="20"/>
              </w:rPr>
              <w:t>1.03  Fiscal Management – Increase $10,000</w:t>
            </w:r>
          </w:p>
          <w:p w14:paraId="39335110" w14:textId="46DABE6D" w:rsidR="00701A62" w:rsidRDefault="00701A62" w:rsidP="00701A62">
            <w:pPr>
              <w:tabs>
                <w:tab w:val="left" w:pos="613"/>
              </w:tabs>
              <w:ind w:left="610" w:hanging="610"/>
              <w:rPr>
                <w:rFonts w:cs="Arial"/>
                <w:sz w:val="20"/>
                <w:szCs w:val="20"/>
              </w:rPr>
            </w:pPr>
            <w:r>
              <w:rPr>
                <w:rFonts w:cs="Arial"/>
                <w:sz w:val="20"/>
                <w:szCs w:val="20"/>
              </w:rPr>
              <w:t>3.01  Transportation Project Programming – Increase $178,000</w:t>
            </w:r>
          </w:p>
          <w:p w14:paraId="00B9AEFA" w14:textId="46C19D4D" w:rsidR="00701A62" w:rsidRPr="00701A62" w:rsidRDefault="00701A62" w:rsidP="00701A62">
            <w:pPr>
              <w:tabs>
                <w:tab w:val="left" w:pos="613"/>
              </w:tabs>
              <w:ind w:left="610" w:hanging="610"/>
              <w:rPr>
                <w:rFonts w:cs="Arial"/>
                <w:sz w:val="20"/>
                <w:szCs w:val="20"/>
              </w:rPr>
            </w:pPr>
            <w:r w:rsidRPr="00701A62">
              <w:rPr>
                <w:rFonts w:cs="Arial"/>
                <w:sz w:val="20"/>
                <w:szCs w:val="20"/>
              </w:rPr>
              <w:t>3.03  Air Quality Management and Operations – Increase $</w:t>
            </w:r>
            <w:r w:rsidR="00731445">
              <w:rPr>
                <w:rFonts w:cs="Arial"/>
                <w:sz w:val="20"/>
                <w:szCs w:val="20"/>
              </w:rPr>
              <w:t>52,000</w:t>
            </w:r>
          </w:p>
          <w:p w14:paraId="6E7A7054" w14:textId="1B4C64DD" w:rsidR="00701A62" w:rsidRDefault="00701A62" w:rsidP="00701A62">
            <w:pPr>
              <w:tabs>
                <w:tab w:val="left" w:pos="613"/>
              </w:tabs>
              <w:ind w:left="610" w:hanging="610"/>
              <w:rPr>
                <w:rFonts w:cs="Arial"/>
                <w:sz w:val="20"/>
                <w:szCs w:val="20"/>
              </w:rPr>
            </w:pPr>
            <w:r w:rsidRPr="00701A62">
              <w:rPr>
                <w:rFonts w:cs="Arial"/>
                <w:sz w:val="20"/>
                <w:szCs w:val="20"/>
              </w:rPr>
              <w:t>3.0</w:t>
            </w:r>
            <w:r w:rsidR="00731445">
              <w:rPr>
                <w:rFonts w:cs="Arial"/>
                <w:sz w:val="20"/>
                <w:szCs w:val="20"/>
              </w:rPr>
              <w:t>6</w:t>
            </w:r>
            <w:r w:rsidRPr="00701A62">
              <w:rPr>
                <w:rFonts w:cs="Arial"/>
                <w:sz w:val="20"/>
                <w:szCs w:val="20"/>
              </w:rPr>
              <w:t xml:space="preserve">  </w:t>
            </w:r>
            <w:r w:rsidR="00731445">
              <w:rPr>
                <w:rFonts w:cs="Arial"/>
                <w:sz w:val="20"/>
                <w:szCs w:val="20"/>
              </w:rPr>
              <w:t>Congestion Management Planning</w:t>
            </w:r>
            <w:r w:rsidRPr="00701A62">
              <w:rPr>
                <w:rFonts w:cs="Arial"/>
                <w:sz w:val="20"/>
                <w:szCs w:val="20"/>
              </w:rPr>
              <w:t xml:space="preserve"> – Increase $</w:t>
            </w:r>
            <w:r w:rsidR="00731445">
              <w:rPr>
                <w:rFonts w:cs="Arial"/>
                <w:sz w:val="20"/>
                <w:szCs w:val="20"/>
              </w:rPr>
              <w:t>90,000</w:t>
            </w:r>
          </w:p>
          <w:p w14:paraId="67EA85E6" w14:textId="7C125B68" w:rsidR="00731445" w:rsidRDefault="00731445" w:rsidP="00731445">
            <w:pPr>
              <w:tabs>
                <w:tab w:val="left" w:pos="613"/>
              </w:tabs>
              <w:ind w:left="610" w:hanging="610"/>
              <w:rPr>
                <w:rFonts w:cs="Arial"/>
                <w:sz w:val="20"/>
                <w:szCs w:val="20"/>
              </w:rPr>
            </w:pPr>
            <w:r>
              <w:rPr>
                <w:rFonts w:cs="Arial"/>
                <w:sz w:val="20"/>
                <w:szCs w:val="20"/>
              </w:rPr>
              <w:t>4.02  Coordination of Transportation and Environmental Planning Processes – Increase $150,000</w:t>
            </w:r>
          </w:p>
          <w:p w14:paraId="7ADCF08E" w14:textId="67499818" w:rsidR="000738F2" w:rsidRPr="000738F2" w:rsidRDefault="00731445" w:rsidP="00731445">
            <w:pPr>
              <w:tabs>
                <w:tab w:val="left" w:pos="613"/>
              </w:tabs>
              <w:ind w:left="610" w:hanging="610"/>
              <w:rPr>
                <w:rFonts w:cs="Arial"/>
                <w:sz w:val="20"/>
                <w:szCs w:val="20"/>
              </w:rPr>
            </w:pPr>
            <w:r>
              <w:rPr>
                <w:rFonts w:cs="Arial"/>
                <w:sz w:val="20"/>
                <w:szCs w:val="20"/>
              </w:rPr>
              <w:t>5.01</w:t>
            </w:r>
            <w:r w:rsidR="00701A62">
              <w:rPr>
                <w:rFonts w:cs="Arial"/>
                <w:sz w:val="20"/>
                <w:szCs w:val="20"/>
              </w:rPr>
              <w:t xml:space="preserve">  </w:t>
            </w:r>
            <w:r>
              <w:rPr>
                <w:rFonts w:cs="Arial"/>
                <w:sz w:val="20"/>
                <w:szCs w:val="20"/>
              </w:rPr>
              <w:t>Regional Transportation Studies</w:t>
            </w:r>
            <w:r w:rsidR="00701A62">
              <w:rPr>
                <w:rFonts w:cs="Arial"/>
                <w:sz w:val="20"/>
                <w:szCs w:val="20"/>
              </w:rPr>
              <w:t xml:space="preserve"> – Increase $</w:t>
            </w:r>
            <w:r>
              <w:rPr>
                <w:rFonts w:cs="Arial"/>
                <w:sz w:val="20"/>
                <w:szCs w:val="20"/>
              </w:rPr>
              <w:t>160,000</w:t>
            </w:r>
          </w:p>
        </w:tc>
      </w:tr>
      <w:tr w:rsidR="00731445" w:rsidRPr="00CB0716" w14:paraId="1087B16E" w14:textId="77777777" w:rsidTr="00954E76">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B0152A9" w14:textId="52D16E9B" w:rsidR="00731445" w:rsidRPr="000738F2" w:rsidRDefault="00731445" w:rsidP="00731445">
            <w:pPr>
              <w:rPr>
                <w:rFonts w:cs="Arial"/>
                <w:sz w:val="20"/>
                <w:szCs w:val="20"/>
              </w:rPr>
            </w:pPr>
            <w:r>
              <w:rPr>
                <w:rFonts w:cs="Arial"/>
                <w:sz w:val="20"/>
                <w:szCs w:val="20"/>
              </w:rPr>
              <w:t>STBG</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CD4C4" w14:textId="7BE5928B" w:rsidR="00731445" w:rsidRPr="000738F2" w:rsidRDefault="00731445" w:rsidP="00731445">
            <w:pPr>
              <w:jc w:val="right"/>
              <w:rPr>
                <w:rFonts w:cs="Arial"/>
                <w:sz w:val="20"/>
                <w:szCs w:val="20"/>
              </w:rPr>
            </w:pPr>
            <w:r>
              <w:rPr>
                <w:rFonts w:cs="Arial"/>
                <w:sz w:val="20"/>
                <w:szCs w:val="20"/>
              </w:rPr>
              <w:t>$7,550,200</w:t>
            </w:r>
          </w:p>
        </w:tc>
        <w:tc>
          <w:tcPr>
            <w:tcW w:w="7336" w:type="dxa"/>
            <w:tcBorders>
              <w:top w:val="single" w:sz="4" w:space="0" w:color="auto"/>
              <w:left w:val="single" w:sz="4" w:space="0" w:color="auto"/>
              <w:bottom w:val="single" w:sz="4" w:space="0" w:color="auto"/>
              <w:right w:val="double" w:sz="4" w:space="0" w:color="auto"/>
            </w:tcBorders>
            <w:shd w:val="clear" w:color="auto" w:fill="auto"/>
            <w:vAlign w:val="center"/>
          </w:tcPr>
          <w:p w14:paraId="4EE572BC" w14:textId="416B15C3" w:rsidR="00731445" w:rsidRPr="000738F2" w:rsidRDefault="00827F20" w:rsidP="00731445">
            <w:pPr>
              <w:tabs>
                <w:tab w:val="left" w:pos="613"/>
              </w:tabs>
              <w:rPr>
                <w:rFonts w:cs="Arial"/>
                <w:sz w:val="20"/>
                <w:szCs w:val="20"/>
              </w:rPr>
            </w:pPr>
            <w:r>
              <w:rPr>
                <w:rFonts w:cs="Arial"/>
                <w:sz w:val="20"/>
                <w:szCs w:val="20"/>
              </w:rPr>
              <w:t>1.02  Program and Policy Administration</w:t>
            </w:r>
            <w:r w:rsidR="00731445">
              <w:rPr>
                <w:rFonts w:cs="Arial"/>
                <w:sz w:val="20"/>
                <w:szCs w:val="20"/>
              </w:rPr>
              <w:t>– Increase $</w:t>
            </w:r>
            <w:r>
              <w:rPr>
                <w:rFonts w:cs="Arial"/>
                <w:sz w:val="20"/>
                <w:szCs w:val="20"/>
              </w:rPr>
              <w:t>275,500</w:t>
            </w:r>
          </w:p>
          <w:p w14:paraId="536F814B" w14:textId="61056727" w:rsidR="00731445" w:rsidRDefault="00827F20" w:rsidP="00731445">
            <w:pPr>
              <w:tabs>
                <w:tab w:val="left" w:pos="613"/>
              </w:tabs>
              <w:ind w:left="610" w:hanging="610"/>
              <w:rPr>
                <w:rFonts w:cs="Arial"/>
                <w:sz w:val="20"/>
                <w:szCs w:val="20"/>
              </w:rPr>
            </w:pPr>
            <w:r>
              <w:rPr>
                <w:rFonts w:cs="Arial"/>
                <w:sz w:val="20"/>
                <w:szCs w:val="20"/>
              </w:rPr>
              <w:t>2.01  Development of Travel Models</w:t>
            </w:r>
            <w:r w:rsidR="00731445">
              <w:rPr>
                <w:rFonts w:cs="Arial"/>
                <w:sz w:val="20"/>
                <w:szCs w:val="20"/>
              </w:rPr>
              <w:t xml:space="preserve"> – Increase $</w:t>
            </w:r>
            <w:r>
              <w:rPr>
                <w:rFonts w:cs="Arial"/>
                <w:sz w:val="20"/>
                <w:szCs w:val="20"/>
              </w:rPr>
              <w:t>1,587,200</w:t>
            </w:r>
          </w:p>
          <w:p w14:paraId="77C002C5" w14:textId="4903B266" w:rsidR="00731445" w:rsidRPr="00701A62" w:rsidRDefault="00827F20" w:rsidP="00731445">
            <w:pPr>
              <w:tabs>
                <w:tab w:val="left" w:pos="613"/>
              </w:tabs>
              <w:ind w:left="610" w:hanging="610"/>
              <w:rPr>
                <w:rFonts w:cs="Arial"/>
                <w:sz w:val="20"/>
                <w:szCs w:val="20"/>
              </w:rPr>
            </w:pPr>
            <w:r>
              <w:rPr>
                <w:rFonts w:cs="Arial"/>
                <w:sz w:val="20"/>
                <w:szCs w:val="20"/>
              </w:rPr>
              <w:t>2.05</w:t>
            </w:r>
            <w:r w:rsidR="00731445" w:rsidRPr="00701A62">
              <w:rPr>
                <w:rFonts w:cs="Arial"/>
                <w:sz w:val="20"/>
                <w:szCs w:val="20"/>
              </w:rPr>
              <w:t xml:space="preserve">  </w:t>
            </w:r>
            <w:r>
              <w:rPr>
                <w:rFonts w:cs="Arial"/>
                <w:sz w:val="20"/>
                <w:szCs w:val="20"/>
              </w:rPr>
              <w:t>Data Management</w:t>
            </w:r>
            <w:r w:rsidR="00731445" w:rsidRPr="00701A62">
              <w:rPr>
                <w:rFonts w:cs="Arial"/>
                <w:sz w:val="20"/>
                <w:szCs w:val="20"/>
              </w:rPr>
              <w:t xml:space="preserve"> – Increase $</w:t>
            </w:r>
            <w:r>
              <w:rPr>
                <w:rFonts w:cs="Arial"/>
                <w:sz w:val="20"/>
                <w:szCs w:val="20"/>
              </w:rPr>
              <w:t>256,600</w:t>
            </w:r>
          </w:p>
          <w:p w14:paraId="1C372852" w14:textId="2C24DA68" w:rsidR="00731445" w:rsidRDefault="00827F20" w:rsidP="00731445">
            <w:pPr>
              <w:tabs>
                <w:tab w:val="left" w:pos="613"/>
              </w:tabs>
              <w:ind w:left="610" w:hanging="610"/>
              <w:rPr>
                <w:rFonts w:cs="Arial"/>
                <w:sz w:val="20"/>
                <w:szCs w:val="20"/>
              </w:rPr>
            </w:pPr>
            <w:r>
              <w:rPr>
                <w:rFonts w:cs="Arial"/>
                <w:sz w:val="20"/>
                <w:szCs w:val="20"/>
              </w:rPr>
              <w:t>3.01  Transportation Project Programming</w:t>
            </w:r>
            <w:r w:rsidR="00731445" w:rsidRPr="00701A62">
              <w:rPr>
                <w:rFonts w:cs="Arial"/>
                <w:sz w:val="20"/>
                <w:szCs w:val="20"/>
              </w:rPr>
              <w:t xml:space="preserve"> – Increase $</w:t>
            </w:r>
            <w:r>
              <w:rPr>
                <w:rFonts w:cs="Arial"/>
                <w:sz w:val="20"/>
                <w:szCs w:val="20"/>
              </w:rPr>
              <w:t>88,000</w:t>
            </w:r>
          </w:p>
          <w:p w14:paraId="303DE1A8" w14:textId="2ACF780C" w:rsidR="00827F20" w:rsidRPr="0032248A" w:rsidRDefault="00827F20" w:rsidP="0032248A">
            <w:pPr>
              <w:tabs>
                <w:tab w:val="left" w:pos="613"/>
              </w:tabs>
              <w:ind w:left="610" w:hanging="610"/>
              <w:rPr>
                <w:rFonts w:cs="Arial"/>
                <w:sz w:val="20"/>
                <w:szCs w:val="20"/>
              </w:rPr>
            </w:pPr>
            <w:r w:rsidRPr="0032248A">
              <w:rPr>
                <w:rFonts w:cs="Arial"/>
                <w:sz w:val="20"/>
                <w:szCs w:val="20"/>
              </w:rPr>
              <w:t>3.07  Congestion Management Operations – Increase $1,20</w:t>
            </w:r>
            <w:r w:rsidR="0032248A" w:rsidRPr="0032248A">
              <w:rPr>
                <w:rFonts w:cs="Arial"/>
                <w:sz w:val="20"/>
                <w:szCs w:val="20"/>
              </w:rPr>
              <w:t>4</w:t>
            </w:r>
            <w:r w:rsidRPr="0032248A">
              <w:rPr>
                <w:rFonts w:cs="Arial"/>
                <w:sz w:val="20"/>
                <w:szCs w:val="20"/>
              </w:rPr>
              <w:t>,500</w:t>
            </w:r>
          </w:p>
          <w:p w14:paraId="3E6CD5A9" w14:textId="77777777" w:rsidR="001F6299" w:rsidRDefault="001F6299" w:rsidP="001F6299">
            <w:pPr>
              <w:tabs>
                <w:tab w:val="left" w:pos="613"/>
              </w:tabs>
              <w:ind w:left="610" w:hanging="610"/>
              <w:rPr>
                <w:rFonts w:cs="Arial"/>
                <w:sz w:val="20"/>
                <w:szCs w:val="20"/>
              </w:rPr>
            </w:pPr>
            <w:r>
              <w:rPr>
                <w:rFonts w:cs="Arial"/>
                <w:sz w:val="20"/>
                <w:szCs w:val="20"/>
              </w:rPr>
              <w:t>4.02  Coordination of Transportation and Environmental Planning Processes – Increase $150,000</w:t>
            </w:r>
          </w:p>
          <w:p w14:paraId="0B1282DF" w14:textId="65B15AF7" w:rsidR="00731445" w:rsidRDefault="00827F20" w:rsidP="00731445">
            <w:pPr>
              <w:tabs>
                <w:tab w:val="left" w:pos="613"/>
              </w:tabs>
              <w:ind w:left="610" w:hanging="610"/>
              <w:rPr>
                <w:rFonts w:cs="Arial"/>
                <w:sz w:val="20"/>
                <w:szCs w:val="20"/>
              </w:rPr>
            </w:pPr>
            <w:r>
              <w:rPr>
                <w:rFonts w:cs="Arial"/>
                <w:sz w:val="20"/>
                <w:szCs w:val="20"/>
              </w:rPr>
              <w:t>5.01</w:t>
            </w:r>
            <w:r w:rsidR="00731445">
              <w:rPr>
                <w:rFonts w:cs="Arial"/>
                <w:sz w:val="20"/>
                <w:szCs w:val="20"/>
              </w:rPr>
              <w:t xml:space="preserve">  </w:t>
            </w:r>
            <w:r>
              <w:rPr>
                <w:rFonts w:cs="Arial"/>
                <w:sz w:val="20"/>
                <w:szCs w:val="20"/>
              </w:rPr>
              <w:t>Regional Transportation Studies – Increase $516,000</w:t>
            </w:r>
          </w:p>
          <w:p w14:paraId="612D9983" w14:textId="6303345C" w:rsidR="00731445" w:rsidRDefault="00731445" w:rsidP="00731445">
            <w:pPr>
              <w:tabs>
                <w:tab w:val="left" w:pos="613"/>
              </w:tabs>
              <w:ind w:left="610" w:hanging="610"/>
              <w:rPr>
                <w:rFonts w:cs="Arial"/>
                <w:sz w:val="20"/>
                <w:szCs w:val="20"/>
              </w:rPr>
            </w:pPr>
            <w:r>
              <w:rPr>
                <w:rFonts w:cs="Arial"/>
                <w:sz w:val="20"/>
                <w:szCs w:val="20"/>
              </w:rPr>
              <w:t>5.0</w:t>
            </w:r>
            <w:r w:rsidR="00827F20">
              <w:rPr>
                <w:rFonts w:cs="Arial"/>
                <w:sz w:val="20"/>
                <w:szCs w:val="20"/>
              </w:rPr>
              <w:t>2</w:t>
            </w:r>
            <w:r>
              <w:rPr>
                <w:rFonts w:cs="Arial"/>
                <w:sz w:val="20"/>
                <w:szCs w:val="20"/>
              </w:rPr>
              <w:t xml:space="preserve">  </w:t>
            </w:r>
            <w:r w:rsidR="00827F20">
              <w:rPr>
                <w:rFonts w:cs="Arial"/>
                <w:sz w:val="20"/>
                <w:szCs w:val="20"/>
              </w:rPr>
              <w:t>Subarea Studies and Local Government Assistance</w:t>
            </w:r>
            <w:r>
              <w:rPr>
                <w:rFonts w:cs="Arial"/>
                <w:sz w:val="20"/>
                <w:szCs w:val="20"/>
              </w:rPr>
              <w:t xml:space="preserve"> – Increase $10,000</w:t>
            </w:r>
          </w:p>
          <w:p w14:paraId="676C6C6E" w14:textId="04D708C9" w:rsidR="00827F20" w:rsidRDefault="00827F20" w:rsidP="00731445">
            <w:pPr>
              <w:tabs>
                <w:tab w:val="left" w:pos="613"/>
              </w:tabs>
              <w:ind w:left="610" w:hanging="610"/>
              <w:rPr>
                <w:rFonts w:cs="Arial"/>
                <w:sz w:val="20"/>
                <w:szCs w:val="20"/>
              </w:rPr>
            </w:pPr>
            <w:r>
              <w:rPr>
                <w:rFonts w:cs="Arial"/>
                <w:sz w:val="20"/>
                <w:szCs w:val="20"/>
              </w:rPr>
              <w:t>5.06  Regional Freight Planning – Increase $1,542,400</w:t>
            </w:r>
          </w:p>
          <w:p w14:paraId="275628B8" w14:textId="143834FA" w:rsidR="00827F20" w:rsidRDefault="00827F20" w:rsidP="00731445">
            <w:pPr>
              <w:tabs>
                <w:tab w:val="left" w:pos="613"/>
              </w:tabs>
              <w:ind w:left="610" w:hanging="610"/>
              <w:rPr>
                <w:rFonts w:cs="Arial"/>
                <w:sz w:val="20"/>
                <w:szCs w:val="20"/>
              </w:rPr>
            </w:pPr>
            <w:r>
              <w:rPr>
                <w:rFonts w:cs="Arial"/>
                <w:sz w:val="20"/>
                <w:szCs w:val="20"/>
              </w:rPr>
              <w:t>5.07  Roadway and Railroad Safety – Increase $700,000</w:t>
            </w:r>
          </w:p>
          <w:p w14:paraId="090B45F6" w14:textId="704D8F0E" w:rsidR="00827F20" w:rsidRPr="000738F2" w:rsidRDefault="00827F20" w:rsidP="001F6299">
            <w:pPr>
              <w:tabs>
                <w:tab w:val="left" w:pos="613"/>
              </w:tabs>
              <w:ind w:left="610" w:hanging="610"/>
              <w:rPr>
                <w:rFonts w:cs="Arial"/>
                <w:sz w:val="20"/>
                <w:szCs w:val="20"/>
              </w:rPr>
            </w:pPr>
            <w:r>
              <w:rPr>
                <w:rFonts w:cs="Arial"/>
                <w:sz w:val="20"/>
                <w:szCs w:val="20"/>
              </w:rPr>
              <w:t>5.10  Transportation Technology and Innovation Program – Increase $1,220,000</w:t>
            </w:r>
          </w:p>
        </w:tc>
      </w:tr>
      <w:tr w:rsidR="00E966AA" w:rsidRPr="00CB0716" w14:paraId="3741E930" w14:textId="77777777" w:rsidTr="00954E76">
        <w:trPr>
          <w:trHeight w:val="647"/>
          <w:jc w:val="center"/>
        </w:trPr>
        <w:tc>
          <w:tcPr>
            <w:tcW w:w="108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F982BBD" w14:textId="5D33F5E9" w:rsidR="00731445" w:rsidRPr="000738F2" w:rsidRDefault="00731445" w:rsidP="00731445">
            <w:pPr>
              <w:rPr>
                <w:rFonts w:cs="Arial"/>
                <w:sz w:val="20"/>
                <w:szCs w:val="20"/>
              </w:rPr>
            </w:pPr>
            <w:r>
              <w:rPr>
                <w:rFonts w:cs="Arial"/>
                <w:sz w:val="20"/>
                <w:szCs w:val="20"/>
              </w:rPr>
              <w:t>TWDB</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2B5FE" w14:textId="323760FD" w:rsidR="00731445" w:rsidRPr="000738F2" w:rsidRDefault="00731445" w:rsidP="00731445">
            <w:pPr>
              <w:jc w:val="right"/>
              <w:rPr>
                <w:rFonts w:cs="Arial"/>
                <w:sz w:val="20"/>
                <w:szCs w:val="20"/>
              </w:rPr>
            </w:pPr>
            <w:r w:rsidRPr="000738F2">
              <w:rPr>
                <w:rFonts w:cs="Arial"/>
                <w:sz w:val="20"/>
                <w:szCs w:val="20"/>
              </w:rPr>
              <w:t>$</w:t>
            </w:r>
            <w:r>
              <w:rPr>
                <w:rFonts w:cs="Arial"/>
                <w:sz w:val="20"/>
                <w:szCs w:val="20"/>
              </w:rPr>
              <w:t>461</w:t>
            </w:r>
            <w:r w:rsidRPr="000738F2">
              <w:rPr>
                <w:rFonts w:cs="Arial"/>
                <w:sz w:val="20"/>
                <w:szCs w:val="20"/>
              </w:rPr>
              <w:t>,</w:t>
            </w:r>
            <w:r>
              <w:rPr>
                <w:rFonts w:cs="Arial"/>
                <w:sz w:val="20"/>
                <w:szCs w:val="20"/>
              </w:rPr>
              <w:t>7</w:t>
            </w:r>
            <w:r w:rsidRPr="000738F2">
              <w:rPr>
                <w:rFonts w:cs="Arial"/>
                <w:sz w:val="20"/>
                <w:szCs w:val="20"/>
              </w:rPr>
              <w:t>00</w:t>
            </w:r>
          </w:p>
        </w:tc>
        <w:tc>
          <w:tcPr>
            <w:tcW w:w="733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83C2AC6" w14:textId="2CA7C52D" w:rsidR="00731445" w:rsidRPr="000738F2" w:rsidRDefault="00731445" w:rsidP="00731445">
            <w:pPr>
              <w:tabs>
                <w:tab w:val="left" w:pos="613"/>
              </w:tabs>
              <w:ind w:left="610" w:hanging="610"/>
              <w:rPr>
                <w:rFonts w:cs="Arial"/>
                <w:sz w:val="20"/>
                <w:szCs w:val="20"/>
              </w:rPr>
            </w:pPr>
            <w:r>
              <w:rPr>
                <w:rFonts w:cs="Arial"/>
                <w:sz w:val="20"/>
                <w:szCs w:val="20"/>
              </w:rPr>
              <w:t xml:space="preserve">4.02  Coordination of Transportation and Environmental Planning Processes </w:t>
            </w:r>
            <w:r w:rsidR="00827F20">
              <w:rPr>
                <w:rFonts w:cs="Arial"/>
                <w:sz w:val="20"/>
                <w:szCs w:val="20"/>
              </w:rPr>
              <w:t>-- I</w:t>
            </w:r>
            <w:r>
              <w:rPr>
                <w:rFonts w:cs="Arial"/>
                <w:sz w:val="20"/>
                <w:szCs w:val="20"/>
              </w:rPr>
              <w:t xml:space="preserve">ncrease </w:t>
            </w:r>
            <w:r w:rsidRPr="000738F2">
              <w:rPr>
                <w:rFonts w:cs="Arial"/>
                <w:sz w:val="20"/>
                <w:szCs w:val="20"/>
              </w:rPr>
              <w:t>$</w:t>
            </w:r>
            <w:r>
              <w:rPr>
                <w:rFonts w:cs="Arial"/>
                <w:sz w:val="20"/>
                <w:szCs w:val="20"/>
              </w:rPr>
              <w:t>461,700</w:t>
            </w:r>
          </w:p>
        </w:tc>
      </w:tr>
      <w:tr w:rsidR="00731445" w:rsidRPr="00CB0716" w14:paraId="14B592B1" w14:textId="77777777" w:rsidTr="00954E76">
        <w:trPr>
          <w:trHeight w:val="647"/>
          <w:jc w:val="center"/>
        </w:trPr>
        <w:tc>
          <w:tcPr>
            <w:tcW w:w="1080" w:type="dxa"/>
            <w:tcBorders>
              <w:top w:val="single" w:sz="4" w:space="0" w:color="auto"/>
              <w:left w:val="double" w:sz="4" w:space="0" w:color="auto"/>
              <w:bottom w:val="double" w:sz="4" w:space="0" w:color="auto"/>
              <w:right w:val="single" w:sz="4" w:space="0" w:color="auto"/>
            </w:tcBorders>
            <w:shd w:val="clear" w:color="auto" w:fill="auto"/>
            <w:noWrap/>
            <w:vAlign w:val="center"/>
          </w:tcPr>
          <w:p w14:paraId="03E77CCC" w14:textId="03FBEF7B" w:rsidR="00731445" w:rsidRDefault="00731445" w:rsidP="00731445">
            <w:pPr>
              <w:rPr>
                <w:rFonts w:cs="Arial"/>
                <w:sz w:val="20"/>
                <w:szCs w:val="20"/>
              </w:rPr>
            </w:pPr>
            <w:r>
              <w:rPr>
                <w:rFonts w:cs="Arial"/>
                <w:sz w:val="20"/>
                <w:szCs w:val="20"/>
              </w:rPr>
              <w:t>TxDOT</w:t>
            </w:r>
          </w:p>
        </w:tc>
        <w:tc>
          <w:tcPr>
            <w:tcW w:w="152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2AB4A04" w14:textId="1CF61D18" w:rsidR="00731445" w:rsidRPr="000738F2" w:rsidRDefault="00731445" w:rsidP="00731445">
            <w:pPr>
              <w:jc w:val="right"/>
              <w:rPr>
                <w:rFonts w:cs="Arial"/>
                <w:sz w:val="20"/>
                <w:szCs w:val="20"/>
              </w:rPr>
            </w:pPr>
            <w:r>
              <w:rPr>
                <w:rFonts w:cs="Arial"/>
                <w:sz w:val="20"/>
                <w:szCs w:val="20"/>
              </w:rPr>
              <w:t>$170,100</w:t>
            </w:r>
          </w:p>
        </w:tc>
        <w:tc>
          <w:tcPr>
            <w:tcW w:w="7336" w:type="dxa"/>
            <w:tcBorders>
              <w:top w:val="single" w:sz="4" w:space="0" w:color="auto"/>
              <w:left w:val="single" w:sz="4" w:space="0" w:color="auto"/>
              <w:bottom w:val="double" w:sz="4" w:space="0" w:color="auto"/>
              <w:right w:val="double" w:sz="4" w:space="0" w:color="auto"/>
            </w:tcBorders>
            <w:shd w:val="clear" w:color="auto" w:fill="auto"/>
            <w:vAlign w:val="center"/>
          </w:tcPr>
          <w:p w14:paraId="74768B67" w14:textId="57A9C740" w:rsidR="00731445" w:rsidRDefault="00731445" w:rsidP="00731445">
            <w:pPr>
              <w:tabs>
                <w:tab w:val="left" w:pos="613"/>
              </w:tabs>
              <w:ind w:left="610" w:hanging="610"/>
              <w:rPr>
                <w:rFonts w:cs="Arial"/>
                <w:sz w:val="20"/>
                <w:szCs w:val="20"/>
              </w:rPr>
            </w:pPr>
            <w:r>
              <w:rPr>
                <w:rFonts w:cs="Arial"/>
                <w:sz w:val="20"/>
                <w:szCs w:val="20"/>
              </w:rPr>
              <w:t>2.05  Data Management</w:t>
            </w:r>
            <w:r w:rsidRPr="000738F2">
              <w:rPr>
                <w:rFonts w:cs="Arial"/>
                <w:sz w:val="20"/>
                <w:szCs w:val="20"/>
              </w:rPr>
              <w:t xml:space="preserve"> – Increase $</w:t>
            </w:r>
            <w:r>
              <w:rPr>
                <w:rFonts w:cs="Arial"/>
                <w:sz w:val="20"/>
                <w:szCs w:val="20"/>
              </w:rPr>
              <w:t>114,100</w:t>
            </w:r>
          </w:p>
          <w:p w14:paraId="6CF9073B" w14:textId="26A3B98E" w:rsidR="00731445" w:rsidRPr="000738F2" w:rsidRDefault="00731445" w:rsidP="00731445">
            <w:pPr>
              <w:tabs>
                <w:tab w:val="left" w:pos="613"/>
              </w:tabs>
              <w:ind w:left="610" w:hanging="610"/>
              <w:rPr>
                <w:rFonts w:cs="Arial"/>
                <w:sz w:val="20"/>
                <w:szCs w:val="20"/>
              </w:rPr>
            </w:pPr>
            <w:r>
              <w:rPr>
                <w:rFonts w:cs="Arial"/>
                <w:sz w:val="20"/>
                <w:szCs w:val="20"/>
              </w:rPr>
              <w:t>5.01  Regional Transportation Studies – Increase $56,000</w:t>
            </w:r>
          </w:p>
          <w:p w14:paraId="60436639" w14:textId="2CB126C4" w:rsidR="00731445" w:rsidRPr="000738F2" w:rsidRDefault="00731445" w:rsidP="00731445">
            <w:pPr>
              <w:tabs>
                <w:tab w:val="left" w:pos="613"/>
              </w:tabs>
              <w:ind w:left="610" w:hanging="610"/>
              <w:rPr>
                <w:rFonts w:cs="Arial"/>
                <w:sz w:val="20"/>
                <w:szCs w:val="20"/>
              </w:rPr>
            </w:pPr>
          </w:p>
        </w:tc>
      </w:tr>
    </w:tbl>
    <w:p w14:paraId="4163F10D" w14:textId="77777777" w:rsidR="00EE5068" w:rsidRDefault="00EE5068" w:rsidP="00875D09">
      <w:pPr>
        <w:tabs>
          <w:tab w:val="left" w:pos="346"/>
          <w:tab w:val="left" w:pos="677"/>
          <w:tab w:val="left" w:pos="1210"/>
          <w:tab w:val="left" w:pos="4680"/>
          <w:tab w:val="left" w:pos="5760"/>
        </w:tabs>
        <w:ind w:right="-180"/>
      </w:pPr>
    </w:p>
    <w:p w14:paraId="3F85C3DF" w14:textId="77777777" w:rsidR="00730C22" w:rsidRDefault="00730C22" w:rsidP="00875D09">
      <w:pPr>
        <w:tabs>
          <w:tab w:val="left" w:pos="346"/>
          <w:tab w:val="left" w:pos="677"/>
          <w:tab w:val="left" w:pos="1210"/>
          <w:tab w:val="left" w:pos="4680"/>
          <w:tab w:val="left" w:pos="5760"/>
        </w:tabs>
        <w:ind w:right="-180"/>
      </w:pPr>
    </w:p>
    <w:p w14:paraId="78619CBC" w14:textId="00143EF6" w:rsidR="00730C22" w:rsidRDefault="00730C22" w:rsidP="00875D09">
      <w:pPr>
        <w:tabs>
          <w:tab w:val="left" w:pos="346"/>
          <w:tab w:val="left" w:pos="677"/>
          <w:tab w:val="left" w:pos="1210"/>
          <w:tab w:val="left" w:pos="4680"/>
          <w:tab w:val="left" w:pos="5760"/>
        </w:tabs>
        <w:ind w:right="-180"/>
      </w:pPr>
      <w:r>
        <w:t>Specific Projects:</w:t>
      </w:r>
    </w:p>
    <w:p w14:paraId="1CC01C8E" w14:textId="77777777" w:rsidR="00730C22" w:rsidRDefault="00730C22" w:rsidP="00875D09">
      <w:pPr>
        <w:tabs>
          <w:tab w:val="left" w:pos="346"/>
          <w:tab w:val="left" w:pos="677"/>
          <w:tab w:val="left" w:pos="1210"/>
          <w:tab w:val="left" w:pos="4680"/>
          <w:tab w:val="left" w:pos="5760"/>
        </w:tabs>
        <w:ind w:right="-180"/>
      </w:pPr>
    </w:p>
    <w:p w14:paraId="3E4728FE" w14:textId="7C5896EF" w:rsidR="00414C62" w:rsidRPr="00740035" w:rsidRDefault="00730C22" w:rsidP="00954E76">
      <w:pPr>
        <w:tabs>
          <w:tab w:val="left" w:pos="4680"/>
          <w:tab w:val="left" w:pos="5760"/>
        </w:tabs>
        <w:ind w:left="720" w:right="-180" w:hanging="720"/>
      </w:pPr>
      <w:r w:rsidRPr="00740035">
        <w:t>Task 1</w:t>
      </w:r>
      <w:r w:rsidR="00954E76">
        <w:tab/>
      </w:r>
      <w:r w:rsidR="00740035" w:rsidRPr="00740035">
        <w:t>Administration and Management – B. Expected Products (</w:t>
      </w:r>
      <w:r w:rsidR="00740035">
        <w:t>update text to reflect change in purchasing threshold for equipment and supplies from $5,000 to $10,000 for compliance with updates to 2 CFR 200.313 and 2 CFR 200.314</w:t>
      </w:r>
      <w:r w:rsidR="000017FC" w:rsidRPr="00740035">
        <w:t>)</w:t>
      </w:r>
      <w:r w:rsidR="00414C62" w:rsidRPr="00740035">
        <w:t xml:space="preserve"> </w:t>
      </w:r>
    </w:p>
    <w:p w14:paraId="23C66F41" w14:textId="77777777" w:rsidR="00AA2069" w:rsidRPr="00EF540A" w:rsidRDefault="00AA2069" w:rsidP="00954E76">
      <w:pPr>
        <w:tabs>
          <w:tab w:val="left" w:pos="4680"/>
          <w:tab w:val="left" w:pos="5760"/>
        </w:tabs>
        <w:ind w:left="540" w:right="-180" w:hanging="540"/>
      </w:pPr>
    </w:p>
    <w:p w14:paraId="6D47D634" w14:textId="406CB41E" w:rsidR="006123D7" w:rsidRPr="00EF540A" w:rsidRDefault="00740035" w:rsidP="00954E76">
      <w:pPr>
        <w:tabs>
          <w:tab w:val="left" w:pos="4680"/>
          <w:tab w:val="left" w:pos="5760"/>
        </w:tabs>
        <w:ind w:left="720" w:right="-180" w:hanging="720"/>
      </w:pPr>
      <w:r w:rsidRPr="00EF540A">
        <w:t>1.04</w:t>
      </w:r>
      <w:r w:rsidR="006123D7" w:rsidRPr="00EF540A">
        <w:tab/>
      </w:r>
      <w:r w:rsidR="00EF540A" w:rsidRPr="00EF540A">
        <w:t>Computer and Audio/Video Resources</w:t>
      </w:r>
      <w:r w:rsidR="006123D7" w:rsidRPr="00EF540A">
        <w:t xml:space="preserve"> </w:t>
      </w:r>
      <w:r w:rsidR="00EF540A" w:rsidRPr="00EF540A">
        <w:t xml:space="preserve">(update text to reflect change in purchasing threshold for equipment and </w:t>
      </w:r>
      <w:r w:rsidR="00EF540A">
        <w:t>software</w:t>
      </w:r>
      <w:r w:rsidR="00EF540A" w:rsidRPr="00EF540A">
        <w:t xml:space="preserve"> from $5,000 to $10,000 for compliance with updates to 2 CFR 200.313 and 2 CFR 200.314)</w:t>
      </w:r>
    </w:p>
    <w:p w14:paraId="07871682" w14:textId="77777777" w:rsidR="006123D7" w:rsidRPr="00412347" w:rsidRDefault="006123D7" w:rsidP="00954E76">
      <w:pPr>
        <w:tabs>
          <w:tab w:val="left" w:pos="4680"/>
          <w:tab w:val="left" w:pos="5760"/>
        </w:tabs>
        <w:ind w:left="720" w:right="-180" w:hanging="720"/>
      </w:pPr>
    </w:p>
    <w:p w14:paraId="6BFEEC34" w14:textId="743D1D27" w:rsidR="00B8018B" w:rsidRPr="00412347" w:rsidRDefault="00412347" w:rsidP="00954E76">
      <w:pPr>
        <w:tabs>
          <w:tab w:val="left" w:pos="4680"/>
          <w:tab w:val="left" w:pos="5760"/>
        </w:tabs>
        <w:ind w:left="720" w:right="-180" w:hanging="720"/>
      </w:pPr>
      <w:r w:rsidRPr="00412347">
        <w:t>3.03</w:t>
      </w:r>
      <w:r w:rsidRPr="00412347">
        <w:tab/>
      </w:r>
      <w:r w:rsidR="00F45636" w:rsidRPr="00412347">
        <w:t xml:space="preserve">Air Quality Management and Operations – </w:t>
      </w:r>
      <w:r>
        <w:t>North Texas Equitable Electric Vehicle Infrastructure Project (</w:t>
      </w:r>
      <w:proofErr w:type="spellStart"/>
      <w:r>
        <w:t>NTx</w:t>
      </w:r>
      <w:proofErr w:type="spellEnd"/>
      <w:r>
        <w:t>-</w:t>
      </w:r>
      <w:r w:rsidR="00BE1ACE">
        <w:t>EEVI</w:t>
      </w:r>
      <w:r w:rsidR="0033721D" w:rsidRPr="00412347">
        <w:t xml:space="preserve">) </w:t>
      </w:r>
      <w:r w:rsidR="00BE1ACE">
        <w:t xml:space="preserve">(update text to reflect the use of Transportation Development Credits) </w:t>
      </w:r>
    </w:p>
    <w:p w14:paraId="77809FAC" w14:textId="77777777" w:rsidR="00F56DDC" w:rsidRPr="004E5460" w:rsidRDefault="00F56DDC" w:rsidP="00954E76">
      <w:pPr>
        <w:tabs>
          <w:tab w:val="left" w:pos="4680"/>
          <w:tab w:val="left" w:pos="5760"/>
        </w:tabs>
        <w:ind w:left="720" w:right="-180" w:hanging="720"/>
      </w:pPr>
    </w:p>
    <w:p w14:paraId="5E157491" w14:textId="77777777" w:rsidR="0032248A" w:rsidRPr="004E5460" w:rsidRDefault="0032248A" w:rsidP="0032248A">
      <w:pPr>
        <w:tabs>
          <w:tab w:val="left" w:pos="4680"/>
          <w:tab w:val="left" w:pos="5760"/>
        </w:tabs>
        <w:ind w:left="720" w:right="-180" w:hanging="720"/>
      </w:pPr>
      <w:r w:rsidRPr="004E5460">
        <w:t>3.04</w:t>
      </w:r>
      <w:r w:rsidRPr="004E5460">
        <w:tab/>
        <w:t>Public Transportation Planning – Regional Transit Planning Assistance (add $187,411 in Federal Transit Administration 5307 funds, matched with Transportation Development Credits, and update text to reflect planning activities to be conducted with the FTA funds)</w:t>
      </w:r>
    </w:p>
    <w:p w14:paraId="7825D13D" w14:textId="77777777" w:rsidR="0032248A" w:rsidRPr="004E5460" w:rsidRDefault="0032248A" w:rsidP="0032248A">
      <w:pPr>
        <w:tabs>
          <w:tab w:val="left" w:pos="677"/>
          <w:tab w:val="left" w:pos="4680"/>
          <w:tab w:val="left" w:pos="5760"/>
        </w:tabs>
        <w:ind w:left="720" w:right="-180" w:hanging="720"/>
      </w:pPr>
    </w:p>
    <w:p w14:paraId="79E3993D" w14:textId="153889D6" w:rsidR="00F56DDC" w:rsidRPr="004E5460" w:rsidRDefault="00F56DDC" w:rsidP="00954E76">
      <w:pPr>
        <w:tabs>
          <w:tab w:val="left" w:pos="4680"/>
          <w:tab w:val="left" w:pos="5760"/>
        </w:tabs>
        <w:ind w:left="720" w:right="-180" w:hanging="720"/>
      </w:pPr>
      <w:r w:rsidRPr="004E5460">
        <w:t>3.05</w:t>
      </w:r>
      <w:r w:rsidRPr="004E5460">
        <w:tab/>
        <w:t>Transit Management and Operations – Enhancing Mobility within the Southern Dallas Inland Port (update text to remove operational activities that are not eligible under the grant)</w:t>
      </w:r>
    </w:p>
    <w:p w14:paraId="1FC6C3B5" w14:textId="77777777" w:rsidR="00F56DDC" w:rsidRPr="001707EB" w:rsidRDefault="00F56DDC" w:rsidP="00954E76">
      <w:pPr>
        <w:tabs>
          <w:tab w:val="left" w:pos="4680"/>
          <w:tab w:val="left" w:pos="5760"/>
        </w:tabs>
        <w:ind w:left="720" w:right="-180" w:hanging="720"/>
      </w:pPr>
    </w:p>
    <w:p w14:paraId="1C7A80B3" w14:textId="24C36232" w:rsidR="00F56DDC" w:rsidRPr="001707EB" w:rsidRDefault="00F56DDC" w:rsidP="00954E76">
      <w:pPr>
        <w:tabs>
          <w:tab w:val="left" w:pos="4680"/>
          <w:tab w:val="left" w:pos="5760"/>
        </w:tabs>
        <w:ind w:left="720" w:right="-180" w:hanging="720"/>
      </w:pPr>
      <w:r w:rsidRPr="001707EB">
        <w:t>3.05</w:t>
      </w:r>
      <w:r w:rsidRPr="001707EB">
        <w:tab/>
        <w:t>Transit Management and Operations – FTA Urban Funding Grant Administration (add $841,896 in Regional Toll Revenue funds as match to Federal Transit Administration 5307 funds to support S</w:t>
      </w:r>
      <w:r w:rsidR="00AF482A">
        <w:t>TAR</w:t>
      </w:r>
      <w:r w:rsidRPr="001707EB">
        <w:t xml:space="preserve"> Transit in fulfilling operational commitments that are not eligible under the Enhancing Mobility within the Southern Dallas Inland Port</w:t>
      </w:r>
      <w:r w:rsidR="0032248A">
        <w:t xml:space="preserve"> project</w:t>
      </w:r>
      <w:r w:rsidR="00417828" w:rsidRPr="001707EB">
        <w:t>, and update text to include RTR funds</w:t>
      </w:r>
      <w:r w:rsidR="00AF482A">
        <w:t>)</w:t>
      </w:r>
      <w:r w:rsidR="00417828" w:rsidRPr="001707EB">
        <w:t xml:space="preserve"> </w:t>
      </w:r>
    </w:p>
    <w:p w14:paraId="2CDEB98A" w14:textId="77777777" w:rsidR="00F56DDC" w:rsidRPr="001707EB" w:rsidRDefault="00F56DDC" w:rsidP="00954E76">
      <w:pPr>
        <w:tabs>
          <w:tab w:val="left" w:pos="4680"/>
          <w:tab w:val="left" w:pos="5760"/>
        </w:tabs>
        <w:ind w:left="720" w:right="-180" w:hanging="720"/>
      </w:pPr>
    </w:p>
    <w:p w14:paraId="70D4ADED" w14:textId="769AE8B5" w:rsidR="00B8018B" w:rsidRPr="00417828" w:rsidRDefault="00B8018B" w:rsidP="00954E76">
      <w:pPr>
        <w:tabs>
          <w:tab w:val="left" w:pos="4680"/>
          <w:tab w:val="left" w:pos="5760"/>
        </w:tabs>
        <w:ind w:left="720" w:right="-180" w:hanging="720"/>
      </w:pPr>
      <w:r w:rsidRPr="00417828">
        <w:t>3.0</w:t>
      </w:r>
      <w:r w:rsidR="00412347" w:rsidRPr="00417828">
        <w:t>5</w:t>
      </w:r>
      <w:r w:rsidRPr="00417828">
        <w:tab/>
      </w:r>
      <w:r w:rsidR="00417828">
        <w:t>Transit Management and Operations</w:t>
      </w:r>
      <w:r w:rsidRPr="00417828">
        <w:t xml:space="preserve"> – </w:t>
      </w:r>
      <w:r w:rsidR="00417828">
        <w:t>FTA Urban Funding Grant Administration (update text to reflect a change in the time period from 2024 to 2025 for the administration</w:t>
      </w:r>
      <w:r w:rsidR="00417828" w:rsidRPr="0032248A">
        <w:t xml:space="preserve"> of emergency assistance funding for the Emergency Relief Grants for Public Transportation Systems Affected by Major Declared Disasters</w:t>
      </w:r>
      <w:r w:rsidRPr="0032248A">
        <w:t>)</w:t>
      </w:r>
      <w:r w:rsidR="00417828" w:rsidRPr="0032248A">
        <w:t xml:space="preserve"> </w:t>
      </w:r>
    </w:p>
    <w:p w14:paraId="7F630F56" w14:textId="77777777" w:rsidR="0032248A" w:rsidRPr="005F6EE8" w:rsidRDefault="0032248A" w:rsidP="0032248A">
      <w:pPr>
        <w:tabs>
          <w:tab w:val="left" w:pos="4680"/>
          <w:tab w:val="left" w:pos="5760"/>
        </w:tabs>
        <w:ind w:left="720" w:right="-180" w:hanging="720"/>
      </w:pPr>
    </w:p>
    <w:p w14:paraId="3372EC7A" w14:textId="77777777" w:rsidR="0032248A" w:rsidRPr="004E5460" w:rsidRDefault="0032248A" w:rsidP="0032248A">
      <w:pPr>
        <w:tabs>
          <w:tab w:val="left" w:pos="4680"/>
          <w:tab w:val="left" w:pos="5760"/>
        </w:tabs>
        <w:ind w:left="720" w:right="-180" w:hanging="720"/>
      </w:pPr>
      <w:r w:rsidRPr="004E5460">
        <w:t>3.07</w:t>
      </w:r>
      <w:r w:rsidRPr="004E5460">
        <w:tab/>
        <w:t>Congestion Management Operations – Managed Lane Technology Assessment (add $400,000 Surface Transportation Block Grant Program funds, matched with Transportation Development Credits, to continue project work activities)</w:t>
      </w:r>
    </w:p>
    <w:p w14:paraId="44A1E3CB" w14:textId="77777777" w:rsidR="0032248A" w:rsidRPr="004E5460" w:rsidRDefault="0032248A" w:rsidP="0032248A">
      <w:pPr>
        <w:tabs>
          <w:tab w:val="left" w:pos="677"/>
          <w:tab w:val="left" w:pos="4680"/>
          <w:tab w:val="left" w:pos="5760"/>
        </w:tabs>
        <w:ind w:left="720" w:right="-180" w:hanging="720"/>
      </w:pPr>
    </w:p>
    <w:p w14:paraId="69581C37" w14:textId="77777777" w:rsidR="0032248A" w:rsidRPr="0032248A" w:rsidRDefault="0032248A" w:rsidP="0032248A">
      <w:pPr>
        <w:tabs>
          <w:tab w:val="left" w:pos="4680"/>
          <w:tab w:val="left" w:pos="5760"/>
        </w:tabs>
        <w:ind w:left="720" w:right="-180" w:hanging="720"/>
      </w:pPr>
      <w:r w:rsidRPr="0032248A">
        <w:t>3.07</w:t>
      </w:r>
      <w:r w:rsidRPr="0032248A">
        <w:tab/>
        <w:t>Congestion Management Operations – Regional Traffic Signal Program (add $300,000 in Regional Transportation Council Local Funds to support the procurement and implementation of a traffic signal in Everman)</w:t>
      </w:r>
    </w:p>
    <w:p w14:paraId="743F4EFB" w14:textId="77777777" w:rsidR="0032248A" w:rsidRPr="0032248A" w:rsidRDefault="0032248A" w:rsidP="0032248A">
      <w:pPr>
        <w:tabs>
          <w:tab w:val="left" w:pos="677"/>
          <w:tab w:val="left" w:pos="4680"/>
          <w:tab w:val="left" w:pos="5760"/>
        </w:tabs>
        <w:ind w:left="720" w:right="-180" w:hanging="720"/>
      </w:pPr>
    </w:p>
    <w:p w14:paraId="3BC5EDB1" w14:textId="7C267AB7" w:rsidR="0032248A" w:rsidRPr="0032248A" w:rsidRDefault="0032248A" w:rsidP="0032248A">
      <w:pPr>
        <w:tabs>
          <w:tab w:val="left" w:pos="4680"/>
          <w:tab w:val="left" w:pos="5760"/>
        </w:tabs>
        <w:ind w:left="720" w:right="-180" w:hanging="720"/>
      </w:pPr>
      <w:r w:rsidRPr="0032248A">
        <w:t>3.07</w:t>
      </w:r>
      <w:r w:rsidRPr="0032248A">
        <w:tab/>
        <w:t>Congestion Management Operations – Strategic Incident Response (add initiative and $200,000 in Surface Transportation Block Grant Program funds, matched with Transportation Development Credits, for the staging of tow trucks on limited access facilities</w:t>
      </w:r>
      <w:r w:rsidR="00333AAF">
        <w:t>)</w:t>
      </w:r>
    </w:p>
    <w:p w14:paraId="333C788B" w14:textId="77777777" w:rsidR="0032248A" w:rsidRPr="0032248A" w:rsidRDefault="0032248A" w:rsidP="0032248A">
      <w:pPr>
        <w:tabs>
          <w:tab w:val="left" w:pos="4680"/>
          <w:tab w:val="left" w:pos="5760"/>
        </w:tabs>
        <w:ind w:left="720" w:right="-180" w:hanging="720"/>
      </w:pPr>
    </w:p>
    <w:p w14:paraId="1D465344" w14:textId="6BFCA242" w:rsidR="00F3336E" w:rsidRPr="005F6EE8" w:rsidRDefault="00F3336E" w:rsidP="00954E76">
      <w:pPr>
        <w:tabs>
          <w:tab w:val="left" w:pos="4680"/>
          <w:tab w:val="left" w:pos="5760"/>
        </w:tabs>
        <w:ind w:left="720" w:right="-180" w:hanging="720"/>
      </w:pPr>
      <w:r w:rsidRPr="005F6EE8">
        <w:t>VII.</w:t>
      </w:r>
      <w:r w:rsidRPr="005F6EE8">
        <w:tab/>
        <w:t>Overview of Work Program Funding (update Exhibit VII-1, FY2024 and FY2025 TPF Programming Summary, to reflect a</w:t>
      </w:r>
      <w:r w:rsidR="00EF40F4" w:rsidRPr="005F6EE8">
        <w:t xml:space="preserve">n increase of </w:t>
      </w:r>
      <w:r w:rsidRPr="005F6EE8">
        <w:t>$</w:t>
      </w:r>
      <w:r w:rsidR="00312FF7" w:rsidRPr="005F6EE8">
        <w:t>322,491</w:t>
      </w:r>
      <w:r w:rsidRPr="005F6EE8">
        <w:t xml:space="preserve"> in NCTCOG’s FY202</w:t>
      </w:r>
      <w:r w:rsidR="00312FF7" w:rsidRPr="005F6EE8">
        <w:t>5</w:t>
      </w:r>
      <w:r w:rsidRPr="005F6EE8">
        <w:t xml:space="preserve"> allocation of Federal Transit Administration 5303 Transportation Planning Funds</w:t>
      </w:r>
      <w:r w:rsidR="00EF40F4" w:rsidRPr="005F6EE8">
        <w:t xml:space="preserve"> and</w:t>
      </w:r>
      <w:r w:rsidRPr="005F6EE8">
        <w:t xml:space="preserve"> an increase of $</w:t>
      </w:r>
      <w:r w:rsidR="00312FF7" w:rsidRPr="005F6EE8">
        <w:t>1,371,573</w:t>
      </w:r>
      <w:r w:rsidRPr="005F6EE8">
        <w:t xml:space="preserve"> in</w:t>
      </w:r>
      <w:r w:rsidR="00312FF7" w:rsidRPr="005F6EE8">
        <w:t xml:space="preserve"> carry over funds from FY2023</w:t>
      </w:r>
      <w:r w:rsidRPr="005F6EE8">
        <w:t xml:space="preserve">) </w:t>
      </w:r>
    </w:p>
    <w:p w14:paraId="2DF516B8" w14:textId="77777777" w:rsidR="00F3336E" w:rsidRPr="005F6EE8" w:rsidRDefault="00F3336E" w:rsidP="00954E76">
      <w:pPr>
        <w:ind w:left="720" w:right="101" w:hanging="720"/>
      </w:pPr>
    </w:p>
    <w:p w14:paraId="266A5041" w14:textId="0E40EE24" w:rsidR="007E015C" w:rsidRPr="007E015C" w:rsidRDefault="007E015C" w:rsidP="00954E76">
      <w:pPr>
        <w:tabs>
          <w:tab w:val="left" w:pos="4680"/>
          <w:tab w:val="left" w:pos="5760"/>
        </w:tabs>
        <w:ind w:left="720" w:right="-180" w:hanging="720"/>
      </w:pPr>
      <w:r>
        <w:t>IX.</w:t>
      </w:r>
      <w:r>
        <w:tab/>
        <w:t xml:space="preserve">NCTCOG Planning and Implementation Activities Beyond the FY2024 and FY2025 Unified Planning Work Program (update table of FY2026 non-locally funded </w:t>
      </w:r>
      <w:r w:rsidRPr="0032248A">
        <w:t>projects approved by the Regional Transportation Council</w:t>
      </w:r>
      <w:r w:rsidR="00B423D8" w:rsidRPr="0032248A">
        <w:t xml:space="preserve"> for consistency with the 2025-2028 </w:t>
      </w:r>
      <w:r w:rsidR="00B423D8">
        <w:t>Transportation Improvement Program)</w:t>
      </w:r>
    </w:p>
    <w:p w14:paraId="20236F44" w14:textId="77777777" w:rsidR="001176BC" w:rsidRPr="00337BBE" w:rsidRDefault="001176BC" w:rsidP="00730C22">
      <w:pPr>
        <w:tabs>
          <w:tab w:val="left" w:pos="346"/>
          <w:tab w:val="left" w:pos="677"/>
          <w:tab w:val="left" w:pos="900"/>
          <w:tab w:val="left" w:pos="1210"/>
          <w:tab w:val="left" w:pos="4680"/>
          <w:tab w:val="left" w:pos="5760"/>
        </w:tabs>
        <w:ind w:right="-180"/>
        <w:rPr>
          <w:color w:val="FF0000"/>
        </w:rPr>
      </w:pPr>
    </w:p>
    <w:p w14:paraId="34C73B73" w14:textId="77777777" w:rsidR="004B19D4" w:rsidRDefault="004B19D4" w:rsidP="00730C22">
      <w:pPr>
        <w:tabs>
          <w:tab w:val="left" w:pos="346"/>
          <w:tab w:val="left" w:pos="677"/>
          <w:tab w:val="left" w:pos="900"/>
          <w:tab w:val="left" w:pos="1210"/>
          <w:tab w:val="left" w:pos="4680"/>
          <w:tab w:val="left" w:pos="5760"/>
        </w:tabs>
        <w:ind w:right="-180"/>
      </w:pPr>
    </w:p>
    <w:p w14:paraId="72C887C8" w14:textId="77777777" w:rsidR="00875D09" w:rsidRPr="00875D09" w:rsidRDefault="00875D09" w:rsidP="00875D09">
      <w:pPr>
        <w:tabs>
          <w:tab w:val="left" w:pos="346"/>
          <w:tab w:val="left" w:pos="677"/>
          <w:tab w:val="left" w:pos="1210"/>
          <w:tab w:val="left" w:pos="4680"/>
          <w:tab w:val="left" w:pos="5760"/>
        </w:tabs>
        <w:ind w:right="-180"/>
        <w:rPr>
          <w:b/>
          <w:bCs/>
        </w:rPr>
      </w:pPr>
      <w:r w:rsidRPr="00875D09">
        <w:rPr>
          <w:b/>
          <w:bCs/>
        </w:rPr>
        <w:t>The following modifications have previously been approved by the Regional Transportation Council and are now being incorporated into the Unified Planning Work Program:</w:t>
      </w:r>
    </w:p>
    <w:p w14:paraId="503957CD" w14:textId="77777777" w:rsidR="004C5105" w:rsidRDefault="004C5105" w:rsidP="00875D09">
      <w:pPr>
        <w:tabs>
          <w:tab w:val="left" w:pos="346"/>
          <w:tab w:val="left" w:pos="677"/>
          <w:tab w:val="left" w:pos="1210"/>
          <w:tab w:val="left" w:pos="4680"/>
          <w:tab w:val="left" w:pos="5760"/>
        </w:tabs>
        <w:ind w:left="630" w:right="-180" w:hanging="630"/>
      </w:pPr>
    </w:p>
    <w:p w14:paraId="175FA701" w14:textId="0A6AD6B7" w:rsidR="00C02133" w:rsidRPr="00C02133" w:rsidRDefault="00C02133" w:rsidP="00954E76">
      <w:pPr>
        <w:tabs>
          <w:tab w:val="left" w:pos="4680"/>
          <w:tab w:val="left" w:pos="5760"/>
        </w:tabs>
        <w:ind w:left="720" w:right="-180" w:hanging="720"/>
      </w:pPr>
      <w:r w:rsidRPr="00C02133">
        <w:t>3.03</w:t>
      </w:r>
      <w:r w:rsidRPr="00C02133">
        <w:tab/>
        <w:t>Air Quality Management and Operations – Clean Diesel Grants (add $</w:t>
      </w:r>
      <w:r w:rsidR="001D10A0">
        <w:t>4,912,455</w:t>
      </w:r>
      <w:r w:rsidRPr="00C02133">
        <w:t xml:space="preserve"> in Environmental Protection Agency funds </w:t>
      </w:r>
      <w:r w:rsidR="009A579A">
        <w:t>and $</w:t>
      </w:r>
      <w:r w:rsidR="001D10A0">
        <w:t>6,567,864</w:t>
      </w:r>
      <w:r w:rsidR="009A579A">
        <w:t xml:space="preserve"> in local funds </w:t>
      </w:r>
      <w:r w:rsidRPr="00C02133">
        <w:t xml:space="preserve">to reflect receipt of </w:t>
      </w:r>
      <w:r w:rsidR="009A579A">
        <w:t xml:space="preserve">new </w:t>
      </w:r>
      <w:r w:rsidRPr="00C02133">
        <w:t>grant award</w:t>
      </w:r>
      <w:r w:rsidR="009A579A">
        <w:t xml:space="preserve"> and extension of two other previous awards</w:t>
      </w:r>
      <w:r w:rsidRPr="00C02133">
        <w:t>)</w:t>
      </w:r>
    </w:p>
    <w:p w14:paraId="6A4A6891" w14:textId="77777777" w:rsidR="00C02133" w:rsidRPr="00C02133" w:rsidRDefault="00C02133" w:rsidP="00954E76">
      <w:pPr>
        <w:tabs>
          <w:tab w:val="left" w:pos="4680"/>
          <w:tab w:val="left" w:pos="5760"/>
        </w:tabs>
        <w:ind w:left="720" w:right="-180" w:hanging="720"/>
      </w:pPr>
    </w:p>
    <w:p w14:paraId="2973ECE2" w14:textId="055525B7" w:rsidR="004278BC" w:rsidRPr="004E5460" w:rsidRDefault="004278BC" w:rsidP="00954E76">
      <w:pPr>
        <w:tabs>
          <w:tab w:val="left" w:pos="4680"/>
          <w:tab w:val="left" w:pos="5760"/>
        </w:tabs>
        <w:ind w:left="720" w:right="-180" w:hanging="720"/>
      </w:pPr>
      <w:r w:rsidRPr="004E5460">
        <w:t>3.07</w:t>
      </w:r>
      <w:r w:rsidRPr="004E5460">
        <w:tab/>
        <w:t xml:space="preserve">Congestion Management Operations – Special Events (add $500,000 in Regional Transportation Council Local funds to support consultant assistance in the development of Transportation Mobility Plans for </w:t>
      </w:r>
      <w:r w:rsidR="004E5460" w:rsidRPr="004E5460">
        <w:t xml:space="preserve">the World Cup in </w:t>
      </w:r>
      <w:r w:rsidRPr="004E5460">
        <w:t>2026)</w:t>
      </w:r>
    </w:p>
    <w:p w14:paraId="1A3893EA" w14:textId="77777777" w:rsidR="004278BC" w:rsidRDefault="004278BC" w:rsidP="00954E76">
      <w:pPr>
        <w:tabs>
          <w:tab w:val="left" w:pos="677"/>
          <w:tab w:val="left" w:pos="4680"/>
          <w:tab w:val="left" w:pos="5760"/>
        </w:tabs>
        <w:ind w:left="720" w:right="-180" w:hanging="720"/>
        <w:rPr>
          <w:color w:val="0070C0"/>
        </w:rPr>
      </w:pPr>
    </w:p>
    <w:p w14:paraId="74AA8132" w14:textId="1F919403" w:rsidR="008874A3" w:rsidRPr="0032248A" w:rsidRDefault="008874A3" w:rsidP="00954E76">
      <w:pPr>
        <w:tabs>
          <w:tab w:val="left" w:pos="4680"/>
          <w:tab w:val="left" w:pos="5760"/>
        </w:tabs>
        <w:ind w:left="720" w:right="-180" w:hanging="720"/>
      </w:pPr>
      <w:r w:rsidRPr="0032248A">
        <w:t>3.07</w:t>
      </w:r>
      <w:r w:rsidRPr="0032248A">
        <w:tab/>
        <w:t>Congestion Management Operations – Regional TRADE Platform and 511DFW (add $</w:t>
      </w:r>
      <w:r w:rsidR="00357963" w:rsidRPr="0032248A">
        <w:t>125,000</w:t>
      </w:r>
      <w:r w:rsidRPr="0032248A">
        <w:t xml:space="preserve"> in </w:t>
      </w:r>
      <w:r w:rsidR="00357963" w:rsidRPr="0032248A">
        <w:t>Regional Toll Revenue</w:t>
      </w:r>
      <w:r w:rsidRPr="0032248A">
        <w:t xml:space="preserve"> funds </w:t>
      </w:r>
      <w:r w:rsidR="00357963" w:rsidRPr="0032248A">
        <w:t>to support ongoing work activities</w:t>
      </w:r>
      <w:r w:rsidRPr="0032248A">
        <w:t>)</w:t>
      </w:r>
    </w:p>
    <w:p w14:paraId="361C86A9" w14:textId="77777777" w:rsidR="00F3336E" w:rsidRPr="0032248A" w:rsidRDefault="00F3336E" w:rsidP="00954E76">
      <w:pPr>
        <w:tabs>
          <w:tab w:val="left" w:pos="677"/>
          <w:tab w:val="left" w:pos="4680"/>
          <w:tab w:val="left" w:pos="5760"/>
        </w:tabs>
        <w:ind w:left="720" w:right="-180" w:hanging="720"/>
      </w:pPr>
    </w:p>
    <w:p w14:paraId="5E856F95" w14:textId="77777777" w:rsidR="00333AAF" w:rsidRDefault="00333AAF">
      <w:pPr>
        <w:spacing w:after="160" w:line="259" w:lineRule="auto"/>
      </w:pPr>
      <w:r>
        <w:br w:type="page"/>
      </w:r>
    </w:p>
    <w:p w14:paraId="3BD1C7B0" w14:textId="6B3EAD26" w:rsidR="008874A3" w:rsidRPr="00AA6F06" w:rsidRDefault="008874A3" w:rsidP="00954E76">
      <w:pPr>
        <w:tabs>
          <w:tab w:val="left" w:pos="677"/>
          <w:tab w:val="left" w:pos="4680"/>
          <w:tab w:val="left" w:pos="5760"/>
        </w:tabs>
        <w:ind w:left="720" w:right="-180" w:hanging="720"/>
      </w:pPr>
      <w:r w:rsidRPr="00AA6F06">
        <w:lastRenderedPageBreak/>
        <w:t>4.02</w:t>
      </w:r>
      <w:r w:rsidRPr="00AA6F06">
        <w:tab/>
        <w:t>Coordination of Transportation and Environmental Planning Processes – Blue-Green-Grey Silo-Busting Initiatives (add $</w:t>
      </w:r>
      <w:r w:rsidR="00E755F4">
        <w:t>87,000</w:t>
      </w:r>
      <w:r w:rsidRPr="00AA6F06">
        <w:t xml:space="preserve"> in Regional Transportation Council Local funds </w:t>
      </w:r>
      <w:r w:rsidR="00E755F4">
        <w:t xml:space="preserve">and update text </w:t>
      </w:r>
      <w:r w:rsidRPr="00AA6F06">
        <w:t xml:space="preserve">to </w:t>
      </w:r>
      <w:r w:rsidR="00E755F4">
        <w:t xml:space="preserve">support the launch of three new projects selected in the 2024 funding solicitation:  Inlet Filter Pilot Program – City of Allen, Vermiculture Food Waste Composting at </w:t>
      </w:r>
      <w:proofErr w:type="spellStart"/>
      <w:r w:rsidR="00E755F4">
        <w:t>Lawnview</w:t>
      </w:r>
      <w:proofErr w:type="spellEnd"/>
      <w:r w:rsidR="00E755F4">
        <w:t xml:space="preserve"> Station – DART, and Median Bioswale Retrofit at Parkwood Boulevard – City of Frisco</w:t>
      </w:r>
      <w:r w:rsidRPr="00AA6F06">
        <w:t>)</w:t>
      </w:r>
    </w:p>
    <w:p w14:paraId="79E6823A" w14:textId="77777777" w:rsidR="008874A3" w:rsidRDefault="008874A3" w:rsidP="00954E76">
      <w:pPr>
        <w:tabs>
          <w:tab w:val="left" w:pos="677"/>
          <w:tab w:val="left" w:pos="4680"/>
          <w:tab w:val="left" w:pos="5760"/>
        </w:tabs>
        <w:ind w:left="720" w:right="-180" w:hanging="720"/>
      </w:pPr>
    </w:p>
    <w:p w14:paraId="47106F94" w14:textId="267C5D35" w:rsidR="004278BC" w:rsidRDefault="004278BC" w:rsidP="00954E76">
      <w:pPr>
        <w:tabs>
          <w:tab w:val="left" w:pos="677"/>
          <w:tab w:val="left" w:pos="4680"/>
          <w:tab w:val="left" w:pos="5760"/>
        </w:tabs>
        <w:ind w:left="720" w:right="-180" w:hanging="720"/>
      </w:pPr>
      <w:r>
        <w:t>5.03</w:t>
      </w:r>
      <w:r>
        <w:tab/>
        <w:t>Land-use/Transportation Initiatives – Crossing Students Safely in the Dallas-Fort Worth Region (</w:t>
      </w:r>
      <w:proofErr w:type="spellStart"/>
      <w:r>
        <w:t>CroSS</w:t>
      </w:r>
      <w:proofErr w:type="spellEnd"/>
      <w:r>
        <w:t>-DFW) (add init</w:t>
      </w:r>
      <w:r w:rsidR="003D0256">
        <w:t>i</w:t>
      </w:r>
      <w:r>
        <w:t>ative and $</w:t>
      </w:r>
      <w:r w:rsidR="003D0256">
        <w:t>80,000 in Federal Highway Administration funds and $20,000 in Regional Toll Revenue funds as the result of a Safe Streets for All grant award)</w:t>
      </w:r>
    </w:p>
    <w:p w14:paraId="08A1802F" w14:textId="77777777" w:rsidR="003D0256" w:rsidRPr="00AA6F06" w:rsidRDefault="003D0256" w:rsidP="00954E76">
      <w:pPr>
        <w:tabs>
          <w:tab w:val="left" w:pos="677"/>
          <w:tab w:val="left" w:pos="4680"/>
          <w:tab w:val="left" w:pos="5760"/>
        </w:tabs>
        <w:ind w:left="720" w:right="-180" w:hanging="720"/>
      </w:pPr>
    </w:p>
    <w:p w14:paraId="6EF7DD76" w14:textId="1481CF28" w:rsidR="003D0256" w:rsidRDefault="003D0256" w:rsidP="00954E76">
      <w:pPr>
        <w:tabs>
          <w:tab w:val="left" w:pos="677"/>
          <w:tab w:val="left" w:pos="4680"/>
          <w:tab w:val="left" w:pos="5760"/>
        </w:tabs>
        <w:ind w:left="720" w:right="-180" w:hanging="720"/>
      </w:pPr>
      <w:r>
        <w:t>5.03</w:t>
      </w:r>
      <w:r>
        <w:tab/>
        <w:t>Land-use/Transportation Initiatives – Trinity Railway Express Transit-Oriented Development Strategic Plan (add initiative and $400,000 in Federal Transit Administration funds and $100,000 in Regional Transportation Council Local funds as the result of an FTA Pilot Program for Transit-Oriented Development Planning grant award)</w:t>
      </w:r>
    </w:p>
    <w:p w14:paraId="1CDB9E2F" w14:textId="77777777" w:rsidR="008874A3" w:rsidRPr="00AA6F06" w:rsidRDefault="008874A3" w:rsidP="00954E76">
      <w:pPr>
        <w:tabs>
          <w:tab w:val="left" w:pos="677"/>
          <w:tab w:val="left" w:pos="4680"/>
          <w:tab w:val="left" w:pos="5760"/>
        </w:tabs>
        <w:ind w:left="720" w:right="-180" w:hanging="720"/>
      </w:pPr>
    </w:p>
    <w:p w14:paraId="5CE67665" w14:textId="2EC8C3D1" w:rsidR="00350355" w:rsidRPr="00333AAF" w:rsidRDefault="00350355" w:rsidP="00954E76">
      <w:pPr>
        <w:tabs>
          <w:tab w:val="left" w:pos="677"/>
          <w:tab w:val="left" w:pos="4680"/>
          <w:tab w:val="left" w:pos="5760"/>
        </w:tabs>
        <w:ind w:left="720" w:right="-180" w:hanging="720"/>
      </w:pPr>
      <w:r w:rsidRPr="00333AAF">
        <w:t>5.08</w:t>
      </w:r>
      <w:r w:rsidRPr="00333AAF">
        <w:tab/>
        <w:t xml:space="preserve">Regional Aviation Planning and Education – Urban Air Mobility and Advanced Air Mobility Integration (add $305,000 in Regional Transportation Council Local funds to </w:t>
      </w:r>
      <w:r w:rsidR="00333AAF">
        <w:t>continue staff work activities and procure a consultant)</w:t>
      </w:r>
    </w:p>
    <w:p w14:paraId="30762FF8" w14:textId="1058FB47" w:rsidR="004971C9" w:rsidRPr="00333AAF" w:rsidRDefault="004971C9" w:rsidP="00954E76">
      <w:pPr>
        <w:tabs>
          <w:tab w:val="left" w:pos="677"/>
          <w:tab w:val="left" w:pos="4680"/>
          <w:tab w:val="left" w:pos="5760"/>
        </w:tabs>
        <w:ind w:left="720" w:right="-180" w:hanging="720"/>
      </w:pPr>
    </w:p>
    <w:p w14:paraId="315CF0A1" w14:textId="31870098" w:rsidR="00830AC6" w:rsidRPr="00333AAF" w:rsidRDefault="00350355" w:rsidP="00954E76">
      <w:pPr>
        <w:tabs>
          <w:tab w:val="left" w:pos="677"/>
          <w:tab w:val="left" w:pos="4680"/>
          <w:tab w:val="left" w:pos="5760"/>
        </w:tabs>
        <w:ind w:left="720" w:right="-180" w:hanging="720"/>
      </w:pPr>
      <w:r w:rsidRPr="00333AAF">
        <w:t>5.09</w:t>
      </w:r>
      <w:r w:rsidRPr="00333AAF">
        <w:tab/>
        <w:t xml:space="preserve">Regional Military and Community Coordination – Community Noise Mitigation Program (add $910,800 United States Department of Defense </w:t>
      </w:r>
      <w:r w:rsidR="008940AA" w:rsidRPr="00333AAF">
        <w:t xml:space="preserve">(DOD) </w:t>
      </w:r>
      <w:r w:rsidRPr="00333AAF">
        <w:t xml:space="preserve">funds and </w:t>
      </w:r>
      <w:r w:rsidR="008940AA" w:rsidRPr="00333AAF">
        <w:t>$400,000 Regional Transportation Council Local funds to reflect receipt of a DOD Office of Local Defense Community Cooperation grant award)</w:t>
      </w:r>
    </w:p>
    <w:p w14:paraId="4115E49D" w14:textId="77777777" w:rsidR="005F6EE8" w:rsidRDefault="005F6EE8" w:rsidP="00954E76">
      <w:pPr>
        <w:tabs>
          <w:tab w:val="left" w:pos="677"/>
          <w:tab w:val="left" w:pos="4680"/>
          <w:tab w:val="left" w:pos="5760"/>
        </w:tabs>
        <w:ind w:left="720" w:right="-180" w:hanging="720"/>
        <w:rPr>
          <w:color w:val="FF0000"/>
        </w:rPr>
      </w:pPr>
    </w:p>
    <w:p w14:paraId="1561F345" w14:textId="55E9AD3E" w:rsidR="005F6EE8" w:rsidRPr="00507DBF" w:rsidRDefault="005F6EE8" w:rsidP="00954E76">
      <w:pPr>
        <w:tabs>
          <w:tab w:val="left" w:pos="4680"/>
          <w:tab w:val="left" w:pos="5760"/>
        </w:tabs>
        <w:ind w:left="720" w:right="-180" w:hanging="720"/>
      </w:pPr>
      <w:r w:rsidRPr="00507DBF">
        <w:t>X.</w:t>
      </w:r>
      <w:r w:rsidRPr="00507DBF">
        <w:tab/>
        <w:t xml:space="preserve">Regional Transportation Council Local Funds to Advance Project Implementation (create new UPWP chapter </w:t>
      </w:r>
      <w:r>
        <w:t>to reflect non-planning funding initiatives approved by the RTC and included in the Transportation Improvement Program – first projects to be inventoried include the backstop funding of $1,004,000 for the Enhancing Mobility within the Southern Dallas Inland Port project and the advancement of right-of-way acquisition funding in the amount of $950,000 for Meandering Road</w:t>
      </w:r>
      <w:r w:rsidRPr="00507DBF">
        <w:t>)</w:t>
      </w:r>
      <w:r>
        <w:t xml:space="preserve">  </w:t>
      </w:r>
    </w:p>
    <w:p w14:paraId="3B465CC6" w14:textId="77777777" w:rsidR="005F6EE8" w:rsidRPr="008940AA" w:rsidRDefault="005F6EE8" w:rsidP="008940AA">
      <w:pPr>
        <w:tabs>
          <w:tab w:val="left" w:pos="346"/>
          <w:tab w:val="left" w:pos="677"/>
          <w:tab w:val="left" w:pos="1210"/>
          <w:tab w:val="left" w:pos="4680"/>
          <w:tab w:val="left" w:pos="5760"/>
        </w:tabs>
        <w:ind w:left="630" w:right="-180" w:hanging="630"/>
      </w:pPr>
    </w:p>
    <w:p w14:paraId="03E09B03" w14:textId="58EEC5E5" w:rsidR="007646E4" w:rsidRPr="00875D09" w:rsidRDefault="007646E4" w:rsidP="007646E4">
      <w:pPr>
        <w:tabs>
          <w:tab w:val="left" w:pos="346"/>
          <w:tab w:val="left" w:pos="677"/>
          <w:tab w:val="left" w:pos="1210"/>
          <w:tab w:val="left" w:pos="4680"/>
          <w:tab w:val="left" w:pos="5760"/>
        </w:tabs>
        <w:ind w:right="-180"/>
        <w:rPr>
          <w:b/>
          <w:bCs/>
        </w:rPr>
      </w:pPr>
      <w:r w:rsidRPr="00875D09">
        <w:rPr>
          <w:b/>
          <w:bCs/>
        </w:rPr>
        <w:t xml:space="preserve">The following </w:t>
      </w:r>
      <w:r>
        <w:rPr>
          <w:b/>
          <w:bCs/>
        </w:rPr>
        <w:t>project</w:t>
      </w:r>
      <w:r w:rsidR="00D270F3">
        <w:rPr>
          <w:b/>
          <w:bCs/>
        </w:rPr>
        <w:t xml:space="preserve"> is</w:t>
      </w:r>
      <w:r>
        <w:rPr>
          <w:b/>
          <w:bCs/>
        </w:rPr>
        <w:t xml:space="preserve"> being included in Chapter </w:t>
      </w:r>
      <w:proofErr w:type="gramStart"/>
      <w:r>
        <w:rPr>
          <w:b/>
          <w:bCs/>
        </w:rPr>
        <w:t>VIII.</w:t>
      </w:r>
      <w:r w:rsidR="003C6281">
        <w:rPr>
          <w:b/>
          <w:bCs/>
        </w:rPr>
        <w:t>,</w:t>
      </w:r>
      <w:proofErr w:type="gramEnd"/>
      <w:r w:rsidR="003C6281">
        <w:rPr>
          <w:b/>
          <w:bCs/>
        </w:rPr>
        <w:t xml:space="preserve"> Other Metropolitan Transportation and Air Quality Planning-Related Activities in the Dallas-Fort Worth Area. </w:t>
      </w:r>
      <w:r w:rsidR="00D270F3">
        <w:rPr>
          <w:b/>
          <w:bCs/>
        </w:rPr>
        <w:t>This</w:t>
      </w:r>
      <w:r w:rsidR="003C6281">
        <w:rPr>
          <w:b/>
          <w:bCs/>
        </w:rPr>
        <w:t xml:space="preserve"> project</w:t>
      </w:r>
      <w:r w:rsidR="00D270F3">
        <w:rPr>
          <w:b/>
          <w:bCs/>
        </w:rPr>
        <w:t xml:space="preserve"> is </w:t>
      </w:r>
      <w:r w:rsidR="003C6281">
        <w:rPr>
          <w:b/>
          <w:bCs/>
        </w:rPr>
        <w:t xml:space="preserve">included in the UPWP for information only, no action by the </w:t>
      </w:r>
      <w:r w:rsidRPr="00875D09">
        <w:rPr>
          <w:b/>
          <w:bCs/>
        </w:rPr>
        <w:t xml:space="preserve">Regional Transportation Council </w:t>
      </w:r>
      <w:r w:rsidR="003C6281">
        <w:rPr>
          <w:b/>
          <w:bCs/>
        </w:rPr>
        <w:t>is required</w:t>
      </w:r>
      <w:r w:rsidRPr="00875D09">
        <w:rPr>
          <w:b/>
          <w:bCs/>
        </w:rPr>
        <w:t>:</w:t>
      </w:r>
    </w:p>
    <w:p w14:paraId="22974849" w14:textId="77777777" w:rsidR="007646E4" w:rsidRDefault="007646E4" w:rsidP="00830AC6">
      <w:pPr>
        <w:tabs>
          <w:tab w:val="left" w:pos="346"/>
          <w:tab w:val="left" w:pos="677"/>
          <w:tab w:val="left" w:pos="1210"/>
          <w:tab w:val="left" w:pos="4680"/>
          <w:tab w:val="left" w:pos="5760"/>
        </w:tabs>
      </w:pPr>
    </w:p>
    <w:p w14:paraId="0F2DC72A" w14:textId="2514141B" w:rsidR="00EF01B5" w:rsidRPr="00406F35" w:rsidRDefault="003C6281" w:rsidP="00954E76">
      <w:pPr>
        <w:tabs>
          <w:tab w:val="left" w:pos="346"/>
          <w:tab w:val="left" w:pos="1210"/>
          <w:tab w:val="left" w:pos="4680"/>
          <w:tab w:val="left" w:pos="5760"/>
        </w:tabs>
        <w:ind w:left="720" w:right="-180" w:hanging="720"/>
      </w:pPr>
      <w:r w:rsidRPr="00406F35">
        <w:tab/>
      </w:r>
      <w:r w:rsidRPr="00406F35">
        <w:tab/>
      </w:r>
      <w:r w:rsidR="00406F35" w:rsidRPr="00406F35">
        <w:t>Harry Hines Wrong-Way Driving Prevention Project</w:t>
      </w:r>
      <w:r w:rsidR="00770109" w:rsidRPr="00406F35">
        <w:t xml:space="preserve"> </w:t>
      </w:r>
      <w:r w:rsidR="00EF01B5" w:rsidRPr="00406F35">
        <w:t xml:space="preserve">  </w:t>
      </w:r>
    </w:p>
    <w:p w14:paraId="6737185C" w14:textId="77777777" w:rsidR="007646E4" w:rsidRPr="00406F35" w:rsidRDefault="007646E4" w:rsidP="00830AC6">
      <w:pPr>
        <w:tabs>
          <w:tab w:val="left" w:pos="346"/>
          <w:tab w:val="left" w:pos="677"/>
          <w:tab w:val="left" w:pos="1210"/>
          <w:tab w:val="left" w:pos="4680"/>
          <w:tab w:val="left" w:pos="5760"/>
        </w:tabs>
      </w:pPr>
    </w:p>
    <w:p w14:paraId="068A3AF9" w14:textId="77777777" w:rsidR="003C6281" w:rsidRPr="00A82C4C" w:rsidRDefault="003C6281" w:rsidP="00830AC6">
      <w:pPr>
        <w:tabs>
          <w:tab w:val="left" w:pos="346"/>
          <w:tab w:val="left" w:pos="677"/>
          <w:tab w:val="left" w:pos="1210"/>
          <w:tab w:val="left" w:pos="4680"/>
          <w:tab w:val="left" w:pos="5760"/>
        </w:tabs>
      </w:pPr>
    </w:p>
    <w:p w14:paraId="55882BD3" w14:textId="77777777" w:rsidR="00830AC6" w:rsidRPr="00A85D31" w:rsidRDefault="00830AC6" w:rsidP="00830AC6">
      <w:pPr>
        <w:ind w:right="101"/>
        <w:rPr>
          <w:rFonts w:cs="Arial"/>
        </w:rPr>
      </w:pPr>
      <w:r w:rsidRPr="00A85D31">
        <w:rPr>
          <w:rFonts w:cs="Arial"/>
        </w:rPr>
        <w:t xml:space="preserve">For questions or additional information, please contact:  </w:t>
      </w:r>
    </w:p>
    <w:p w14:paraId="64062799" w14:textId="77777777" w:rsidR="00830AC6" w:rsidRPr="00A85D31" w:rsidRDefault="00830AC6" w:rsidP="00830AC6">
      <w:pPr>
        <w:ind w:right="101"/>
        <w:rPr>
          <w:rFonts w:cs="Arial"/>
        </w:rPr>
      </w:pPr>
    </w:p>
    <w:p w14:paraId="5B2A12A4" w14:textId="77777777" w:rsidR="00830AC6" w:rsidRPr="00A85D31" w:rsidRDefault="00830AC6" w:rsidP="00830AC6">
      <w:pPr>
        <w:tabs>
          <w:tab w:val="left" w:pos="346"/>
          <w:tab w:val="left" w:pos="677"/>
          <w:tab w:val="left" w:pos="1210"/>
          <w:tab w:val="left" w:pos="3240"/>
          <w:tab w:val="left" w:pos="4680"/>
          <w:tab w:val="left" w:pos="5760"/>
        </w:tabs>
      </w:pPr>
      <w:r w:rsidRPr="00A85D31">
        <w:rPr>
          <w:rFonts w:cs="Arial"/>
        </w:rPr>
        <w:t>Vickie Alexander</w:t>
      </w:r>
      <w:r w:rsidRPr="00A85D31">
        <w:rPr>
          <w:rFonts w:cs="Arial"/>
        </w:rPr>
        <w:tab/>
        <w:t>or</w:t>
      </w:r>
      <w:r w:rsidRPr="00A85D31">
        <w:rPr>
          <w:rFonts w:cs="Arial"/>
        </w:rPr>
        <w:tab/>
        <w:t>Vercie Pruitt-Jenkins</w:t>
      </w:r>
    </w:p>
    <w:p w14:paraId="7819F34B" w14:textId="77777777" w:rsidR="00830AC6" w:rsidRPr="00A85D31" w:rsidRDefault="00830AC6" w:rsidP="00830AC6">
      <w:pPr>
        <w:tabs>
          <w:tab w:val="left" w:pos="346"/>
          <w:tab w:val="left" w:pos="677"/>
          <w:tab w:val="left" w:pos="1210"/>
          <w:tab w:val="left" w:pos="4680"/>
          <w:tab w:val="left" w:pos="5760"/>
        </w:tabs>
      </w:pPr>
      <w:r w:rsidRPr="00A85D31">
        <w:t>Program Manager</w:t>
      </w:r>
      <w:r w:rsidRPr="00A85D31">
        <w:tab/>
        <w:t>Administrative Program Coordinator</w:t>
      </w:r>
    </w:p>
    <w:p w14:paraId="16977CA9" w14:textId="77777777" w:rsidR="00830AC6" w:rsidRPr="00A85D31" w:rsidRDefault="00830AC6" w:rsidP="00830AC6">
      <w:pPr>
        <w:tabs>
          <w:tab w:val="left" w:pos="346"/>
          <w:tab w:val="left" w:pos="677"/>
          <w:tab w:val="left" w:pos="1210"/>
          <w:tab w:val="left" w:pos="4680"/>
          <w:tab w:val="left" w:pos="5760"/>
        </w:tabs>
      </w:pPr>
      <w:r w:rsidRPr="00A85D31">
        <w:t>Transportation Department</w:t>
      </w:r>
      <w:r w:rsidRPr="00A85D31">
        <w:tab/>
        <w:t>Transportation Department</w:t>
      </w:r>
      <w:r w:rsidRPr="00A85D31">
        <w:tab/>
      </w:r>
    </w:p>
    <w:p w14:paraId="4C960EF9" w14:textId="77777777" w:rsidR="00830AC6" w:rsidRPr="00A85D31" w:rsidRDefault="00830AC6" w:rsidP="00830AC6">
      <w:pPr>
        <w:tabs>
          <w:tab w:val="left" w:pos="346"/>
          <w:tab w:val="left" w:pos="677"/>
          <w:tab w:val="left" w:pos="1210"/>
          <w:tab w:val="left" w:pos="4680"/>
          <w:tab w:val="left" w:pos="5760"/>
        </w:tabs>
      </w:pPr>
      <w:r w:rsidRPr="00A85D31">
        <w:t>North Central Texas Council of Governments</w:t>
      </w:r>
      <w:r w:rsidRPr="00A85D31">
        <w:tab/>
        <w:t>North Central Texas Council of Governments</w:t>
      </w:r>
    </w:p>
    <w:p w14:paraId="33C94D69" w14:textId="77777777" w:rsidR="00830AC6" w:rsidRPr="00A85D31" w:rsidRDefault="00830AC6" w:rsidP="00830AC6">
      <w:pPr>
        <w:tabs>
          <w:tab w:val="left" w:pos="346"/>
          <w:tab w:val="left" w:pos="677"/>
          <w:tab w:val="left" w:pos="1210"/>
          <w:tab w:val="left" w:pos="4680"/>
          <w:tab w:val="left" w:pos="5760"/>
        </w:tabs>
      </w:pPr>
      <w:r w:rsidRPr="00A85D31">
        <w:t>P.O. Box 5888</w:t>
      </w:r>
      <w:r w:rsidRPr="00A85D31">
        <w:tab/>
        <w:t>P.O. Box 5888</w:t>
      </w:r>
    </w:p>
    <w:p w14:paraId="4CAB7EA6" w14:textId="77777777" w:rsidR="00830AC6" w:rsidRPr="00A85D31" w:rsidRDefault="00830AC6" w:rsidP="00830AC6">
      <w:pPr>
        <w:tabs>
          <w:tab w:val="left" w:pos="346"/>
          <w:tab w:val="left" w:pos="677"/>
          <w:tab w:val="left" w:pos="1210"/>
          <w:tab w:val="left" w:pos="4680"/>
          <w:tab w:val="left" w:pos="5760"/>
        </w:tabs>
      </w:pPr>
      <w:r w:rsidRPr="00A85D31">
        <w:t>Arlington, TX  76005-5888</w:t>
      </w:r>
      <w:r w:rsidRPr="00A85D31">
        <w:tab/>
        <w:t>Arlington, TX  76005-5888</w:t>
      </w:r>
    </w:p>
    <w:p w14:paraId="6A268769" w14:textId="77777777" w:rsidR="00830AC6" w:rsidRPr="00A85D31" w:rsidRDefault="00830AC6" w:rsidP="00830AC6">
      <w:pPr>
        <w:tabs>
          <w:tab w:val="left" w:pos="346"/>
          <w:tab w:val="left" w:pos="677"/>
          <w:tab w:val="left" w:pos="1210"/>
          <w:tab w:val="left" w:pos="4680"/>
          <w:tab w:val="left" w:pos="5760"/>
        </w:tabs>
      </w:pPr>
      <w:r w:rsidRPr="00A85D31">
        <w:t>817/695-9242</w:t>
      </w:r>
      <w:r w:rsidRPr="00A85D31">
        <w:tab/>
        <w:t>817/608-2325</w:t>
      </w:r>
    </w:p>
    <w:p w14:paraId="6325B091" w14:textId="77777777" w:rsidR="00830AC6" w:rsidRPr="00A85D31" w:rsidRDefault="00830AC6" w:rsidP="00830AC6">
      <w:pPr>
        <w:tabs>
          <w:tab w:val="left" w:pos="346"/>
          <w:tab w:val="left" w:pos="677"/>
          <w:tab w:val="left" w:pos="1210"/>
          <w:tab w:val="left" w:pos="4680"/>
          <w:tab w:val="left" w:pos="5760"/>
        </w:tabs>
        <w:rPr>
          <w:color w:val="0000FF"/>
        </w:rPr>
      </w:pPr>
      <w:hyperlink r:id="rId9" w:history="1">
        <w:r w:rsidRPr="00A85D31">
          <w:rPr>
            <w:color w:val="0000FF"/>
            <w:u w:val="single"/>
          </w:rPr>
          <w:t>valexander@nctcog.org</w:t>
        </w:r>
      </w:hyperlink>
      <w:r w:rsidRPr="00A85D31">
        <w:rPr>
          <w:color w:val="0000FF"/>
        </w:rPr>
        <w:tab/>
      </w:r>
      <w:hyperlink r:id="rId10" w:history="1">
        <w:r w:rsidRPr="00A85D31">
          <w:rPr>
            <w:color w:val="0000FF"/>
            <w:u w:val="single"/>
          </w:rPr>
          <w:t>VPruitt-Jenkins@nctcog.org</w:t>
        </w:r>
      </w:hyperlink>
    </w:p>
    <w:p w14:paraId="37F39A52" w14:textId="77777777" w:rsidR="00830AC6" w:rsidRPr="003B3337" w:rsidRDefault="00830AC6" w:rsidP="00830AC6">
      <w:pPr>
        <w:ind w:right="101"/>
        <w:rPr>
          <w:rFonts w:cs="Arial"/>
        </w:rPr>
      </w:pPr>
    </w:p>
    <w:sectPr w:rsidR="00830AC6" w:rsidRPr="003B3337" w:rsidSect="00B3255D">
      <w:headerReference w:type="default" r:id="rId11"/>
      <w:footerReference w:type="default" r:id="rId12"/>
      <w:headerReference w:type="first" r:id="rId13"/>
      <w:footerReference w:type="first" r:id="rId14"/>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3760" w14:textId="77777777" w:rsidR="00974108" w:rsidRDefault="00974108">
      <w:r>
        <w:separator/>
      </w:r>
    </w:p>
  </w:endnote>
  <w:endnote w:type="continuationSeparator" w:id="0">
    <w:p w14:paraId="4D933115" w14:textId="77777777" w:rsidR="00974108" w:rsidRDefault="0097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662784"/>
      <w:docPartObj>
        <w:docPartGallery w:val="Page Numbers (Bottom of Page)"/>
        <w:docPartUnique/>
      </w:docPartObj>
    </w:sdtPr>
    <w:sdtEndPr>
      <w:rPr>
        <w:noProof/>
      </w:rPr>
    </w:sdtEndPr>
    <w:sdtContent>
      <w:p w14:paraId="481C6C8A" w14:textId="6E0D4D2E" w:rsidR="006E2D65" w:rsidRDefault="006E2D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E73657" w14:textId="77777777" w:rsidR="006E2D65" w:rsidRDefault="006E2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C939" w14:textId="1CC6E44A" w:rsidR="0078212D" w:rsidRDefault="00954DE8">
    <w:pPr>
      <w:pStyle w:val="Footer"/>
    </w:pPr>
    <w:r w:rsidRPr="00954DE8">
      <w:rPr>
        <w:noProof/>
      </w:rPr>
      <w:drawing>
        <wp:inline distT="0" distB="0" distL="0" distR="0" wp14:anchorId="3408DBDE" wp14:editId="4185A93E">
          <wp:extent cx="5943600" cy="523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3B00" w14:textId="77777777" w:rsidR="00974108" w:rsidRDefault="00974108">
      <w:r>
        <w:separator/>
      </w:r>
    </w:p>
  </w:footnote>
  <w:footnote w:type="continuationSeparator" w:id="0">
    <w:p w14:paraId="73EF35DB" w14:textId="77777777" w:rsidR="00974108" w:rsidRDefault="0097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FE00" w14:textId="0EE3DB6E" w:rsidR="00F3314D" w:rsidRDefault="00F3314D" w:rsidP="0067063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A91C" w14:textId="45ED1198" w:rsidR="00954DE8" w:rsidRDefault="00954DE8" w:rsidP="00954DE8">
    <w:pPr>
      <w:pStyle w:val="Header"/>
      <w:jc w:val="center"/>
    </w:pPr>
    <w:r>
      <w:rPr>
        <w:noProof/>
      </w:rPr>
      <w:drawing>
        <wp:inline distT="0" distB="0" distL="0" distR="0" wp14:anchorId="6F3B87EB" wp14:editId="7E01BDB9">
          <wp:extent cx="1057275" cy="666750"/>
          <wp:effectExtent l="0" t="0" r="9525" b="0"/>
          <wp:docPr id="14" name="Picture 14"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1"/>
                  <a:srcRect/>
                  <a:stretch>
                    <a:fillRect/>
                  </a:stretch>
                </pic:blipFill>
                <pic:spPr bwMode="auto">
                  <a:xfrm>
                    <a:off x="0" y="0"/>
                    <a:ext cx="1057275" cy="666750"/>
                  </a:xfrm>
                  <a:prstGeom prst="rect">
                    <a:avLst/>
                  </a:prstGeom>
                  <a:noFill/>
                  <a:ln w="9525">
                    <a:noFill/>
                    <a:miter lim="800000"/>
                    <a:headEnd/>
                    <a:tailEnd/>
                  </a:ln>
                </pic:spPr>
              </pic:pic>
            </a:graphicData>
          </a:graphic>
        </wp:inline>
      </w:drawing>
    </w:r>
  </w:p>
  <w:p w14:paraId="38E27279" w14:textId="77777777" w:rsidR="00954DE8" w:rsidRPr="00121F7A" w:rsidRDefault="00954DE8" w:rsidP="00954DE8">
    <w:pPr>
      <w:pStyle w:val="Header"/>
      <w:spacing w:before="120"/>
      <w:jc w:val="center"/>
      <w:rPr>
        <w:rFonts w:ascii="Calibri" w:hAnsi="Calibri"/>
        <w:color w:val="14447E"/>
        <w:szCs w:val="20"/>
      </w:rPr>
    </w:pPr>
    <w:r w:rsidRPr="00B86BB9">
      <w:rPr>
        <w:rFonts w:ascii="Calibri" w:hAnsi="Calibri"/>
        <w:color w:val="14447E"/>
        <w:sz w:val="24"/>
        <w:szCs w:val="20"/>
      </w:rPr>
      <w:t>N</w:t>
    </w:r>
    <w:r w:rsidRPr="00B86BB9">
      <w:rPr>
        <w:rFonts w:ascii="Calibri" w:hAnsi="Calibri"/>
        <w:color w:val="14447E"/>
        <w:szCs w:val="20"/>
      </w:rPr>
      <w:t xml:space="preserve">orth </w:t>
    </w:r>
    <w:r w:rsidRPr="00B86BB9">
      <w:rPr>
        <w:rFonts w:ascii="Calibri" w:hAnsi="Calibri"/>
        <w:color w:val="14447E"/>
        <w:sz w:val="24"/>
        <w:szCs w:val="20"/>
      </w:rPr>
      <w:t>C</w:t>
    </w:r>
    <w:r w:rsidRPr="00B86BB9">
      <w:rPr>
        <w:rFonts w:ascii="Calibri" w:hAnsi="Calibri"/>
        <w:color w:val="14447E"/>
        <w:szCs w:val="20"/>
      </w:rPr>
      <w:t xml:space="preserve">entral </w:t>
    </w:r>
    <w:r w:rsidRPr="00B86BB9">
      <w:rPr>
        <w:rFonts w:ascii="Calibri" w:hAnsi="Calibri"/>
        <w:color w:val="14447E"/>
        <w:sz w:val="24"/>
        <w:szCs w:val="20"/>
      </w:rPr>
      <w:t>T</w:t>
    </w:r>
    <w:r w:rsidRPr="00B86BB9">
      <w:rPr>
        <w:rFonts w:ascii="Calibri" w:hAnsi="Calibri"/>
        <w:color w:val="14447E"/>
        <w:szCs w:val="20"/>
      </w:rPr>
      <w:t xml:space="preserve">exas </w:t>
    </w:r>
    <w:r w:rsidRPr="00B86BB9">
      <w:rPr>
        <w:rFonts w:ascii="Calibri" w:hAnsi="Calibri"/>
        <w:color w:val="14447E"/>
        <w:sz w:val="24"/>
        <w:szCs w:val="20"/>
      </w:rPr>
      <w:t>C</w:t>
    </w:r>
    <w:r w:rsidRPr="00B86BB9">
      <w:rPr>
        <w:rFonts w:ascii="Calibri" w:hAnsi="Calibri"/>
        <w:color w:val="14447E"/>
        <w:szCs w:val="20"/>
      </w:rPr>
      <w:t xml:space="preserve">ouncil of </w:t>
    </w:r>
    <w:r w:rsidRPr="00B86BB9">
      <w:rPr>
        <w:rFonts w:ascii="Calibri" w:hAnsi="Calibri"/>
        <w:color w:val="14447E"/>
        <w:sz w:val="24"/>
        <w:szCs w:val="20"/>
      </w:rPr>
      <w:t>G</w:t>
    </w:r>
    <w:r w:rsidRPr="00B86BB9">
      <w:rPr>
        <w:rFonts w:ascii="Calibri" w:hAnsi="Calibri"/>
        <w:color w:val="14447E"/>
        <w:szCs w:val="20"/>
      </w:rPr>
      <w:t>overnments</w:t>
    </w:r>
  </w:p>
  <w:p w14:paraId="7717A82B" w14:textId="234D149B" w:rsidR="0078212D" w:rsidRDefault="00782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F54E6"/>
    <w:multiLevelType w:val="hybridMultilevel"/>
    <w:tmpl w:val="71CCFF44"/>
    <w:lvl w:ilvl="0" w:tplc="7D965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85F1C"/>
    <w:multiLevelType w:val="hybridMultilevel"/>
    <w:tmpl w:val="F0E4E930"/>
    <w:lvl w:ilvl="0" w:tplc="D3F036DC">
      <w:start w:val="1"/>
      <w:numFmt w:val="decimal"/>
      <w:pStyle w:val="ListParagraph"/>
      <w:lvlText w:val="%1."/>
      <w:lvlJc w:val="left"/>
      <w:pPr>
        <w:ind w:left="360" w:hanging="360"/>
      </w:pPr>
      <w:rPr>
        <w:rFonts w:ascii="Arial" w:hAnsi="Arial" w:hint="default"/>
        <w:b w:val="0"/>
        <w:i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E367BD"/>
    <w:multiLevelType w:val="multilevel"/>
    <w:tmpl w:val="2BAE362A"/>
    <w:lvl w:ilvl="0">
      <w:start w:val="1"/>
      <w:numFmt w:val="decimal"/>
      <w:lvlText w:val="%1"/>
      <w:lvlJc w:val="left"/>
      <w:pPr>
        <w:ind w:left="610" w:hanging="610"/>
      </w:pPr>
      <w:rPr>
        <w:rFonts w:hint="default"/>
      </w:rPr>
    </w:lvl>
    <w:lvl w:ilvl="1">
      <w:start w:val="1"/>
      <w:numFmt w:val="decimalZero"/>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815DEA"/>
    <w:multiLevelType w:val="multilevel"/>
    <w:tmpl w:val="3864E7C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48E6D09"/>
    <w:multiLevelType w:val="hybridMultilevel"/>
    <w:tmpl w:val="42088BB4"/>
    <w:lvl w:ilvl="0" w:tplc="1A72084C">
      <w:start w:val="1"/>
      <w:numFmt w:val="bullet"/>
      <w:lvlText w:val=""/>
      <w:lvlJc w:val="left"/>
      <w:pPr>
        <w:ind w:left="1440" w:hanging="360"/>
      </w:pPr>
      <w:rPr>
        <w:rFonts w:ascii="Symbol" w:hAnsi="Symbol" w:hint="default"/>
      </w:rPr>
    </w:lvl>
    <w:lvl w:ilvl="1" w:tplc="34587BF2">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6E6C3B"/>
    <w:multiLevelType w:val="multilevel"/>
    <w:tmpl w:val="C3F4FE0C"/>
    <w:lvl w:ilvl="0">
      <w:start w:val="1"/>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41534249">
    <w:abstractNumId w:val="4"/>
  </w:num>
  <w:num w:numId="2" w16cid:durableId="1108506237">
    <w:abstractNumId w:val="1"/>
  </w:num>
  <w:num w:numId="3" w16cid:durableId="2101368158">
    <w:abstractNumId w:val="4"/>
  </w:num>
  <w:num w:numId="4" w16cid:durableId="1569000061">
    <w:abstractNumId w:val="5"/>
  </w:num>
  <w:num w:numId="5" w16cid:durableId="184099946">
    <w:abstractNumId w:val="3"/>
  </w:num>
  <w:num w:numId="6" w16cid:durableId="1927182541">
    <w:abstractNumId w:val="0"/>
  </w:num>
  <w:num w:numId="7" w16cid:durableId="511341984">
    <w:abstractNumId w:val="2"/>
  </w:num>
  <w:num w:numId="8" w16cid:durableId="232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C8"/>
    <w:rsid w:val="000017FC"/>
    <w:rsid w:val="0001308E"/>
    <w:rsid w:val="00015F66"/>
    <w:rsid w:val="00016074"/>
    <w:rsid w:val="00020E19"/>
    <w:rsid w:val="00021EF2"/>
    <w:rsid w:val="000229BA"/>
    <w:rsid w:val="00025B0A"/>
    <w:rsid w:val="00026061"/>
    <w:rsid w:val="00033E2C"/>
    <w:rsid w:val="00036C7D"/>
    <w:rsid w:val="000475E0"/>
    <w:rsid w:val="00051632"/>
    <w:rsid w:val="00070293"/>
    <w:rsid w:val="000703CB"/>
    <w:rsid w:val="00070584"/>
    <w:rsid w:val="000722A2"/>
    <w:rsid w:val="000738F2"/>
    <w:rsid w:val="00087DF9"/>
    <w:rsid w:val="000A2044"/>
    <w:rsid w:val="000B3537"/>
    <w:rsid w:val="000C7C27"/>
    <w:rsid w:val="000D28F3"/>
    <w:rsid w:val="000D49F5"/>
    <w:rsid w:val="000F4AAC"/>
    <w:rsid w:val="000F71C6"/>
    <w:rsid w:val="000F7DE2"/>
    <w:rsid w:val="001062B4"/>
    <w:rsid w:val="00110060"/>
    <w:rsid w:val="001119C0"/>
    <w:rsid w:val="00112095"/>
    <w:rsid w:val="001176BC"/>
    <w:rsid w:val="00121F7A"/>
    <w:rsid w:val="001248B1"/>
    <w:rsid w:val="00130B31"/>
    <w:rsid w:val="001415EB"/>
    <w:rsid w:val="0014669B"/>
    <w:rsid w:val="00156230"/>
    <w:rsid w:val="00162303"/>
    <w:rsid w:val="0016716F"/>
    <w:rsid w:val="001707EB"/>
    <w:rsid w:val="00173ECB"/>
    <w:rsid w:val="00182719"/>
    <w:rsid w:val="001832AB"/>
    <w:rsid w:val="001A41B7"/>
    <w:rsid w:val="001A45DC"/>
    <w:rsid w:val="001C11EC"/>
    <w:rsid w:val="001D10A0"/>
    <w:rsid w:val="001E2477"/>
    <w:rsid w:val="001F6299"/>
    <w:rsid w:val="0020027E"/>
    <w:rsid w:val="00203F3C"/>
    <w:rsid w:val="0020633A"/>
    <w:rsid w:val="00206776"/>
    <w:rsid w:val="00206E17"/>
    <w:rsid w:val="00216139"/>
    <w:rsid w:val="00220BAB"/>
    <w:rsid w:val="00221D94"/>
    <w:rsid w:val="00234C4F"/>
    <w:rsid w:val="00235D9D"/>
    <w:rsid w:val="002401CD"/>
    <w:rsid w:val="00244F66"/>
    <w:rsid w:val="00246AAF"/>
    <w:rsid w:val="00262A99"/>
    <w:rsid w:val="00267234"/>
    <w:rsid w:val="002674C8"/>
    <w:rsid w:val="00272F36"/>
    <w:rsid w:val="002860A4"/>
    <w:rsid w:val="00286BFC"/>
    <w:rsid w:val="00291A58"/>
    <w:rsid w:val="00295BC0"/>
    <w:rsid w:val="002A21CF"/>
    <w:rsid w:val="002B16EC"/>
    <w:rsid w:val="002C2916"/>
    <w:rsid w:val="002D64FE"/>
    <w:rsid w:val="002D7D27"/>
    <w:rsid w:val="002E1A4B"/>
    <w:rsid w:val="002E4FAF"/>
    <w:rsid w:val="002F2949"/>
    <w:rsid w:val="002F2D1E"/>
    <w:rsid w:val="002F5AF2"/>
    <w:rsid w:val="002F7A9E"/>
    <w:rsid w:val="002F7E27"/>
    <w:rsid w:val="00303E57"/>
    <w:rsid w:val="00305BB8"/>
    <w:rsid w:val="00312CE8"/>
    <w:rsid w:val="00312FF7"/>
    <w:rsid w:val="00315B4C"/>
    <w:rsid w:val="00317F40"/>
    <w:rsid w:val="0032248A"/>
    <w:rsid w:val="003309E7"/>
    <w:rsid w:val="00333AAF"/>
    <w:rsid w:val="00336F0E"/>
    <w:rsid w:val="0033721D"/>
    <w:rsid w:val="00337BBE"/>
    <w:rsid w:val="00342A95"/>
    <w:rsid w:val="00343DED"/>
    <w:rsid w:val="00346CCD"/>
    <w:rsid w:val="00350355"/>
    <w:rsid w:val="003509E6"/>
    <w:rsid w:val="003564AC"/>
    <w:rsid w:val="00357963"/>
    <w:rsid w:val="00367158"/>
    <w:rsid w:val="00376895"/>
    <w:rsid w:val="003779F1"/>
    <w:rsid w:val="00391C26"/>
    <w:rsid w:val="003939A6"/>
    <w:rsid w:val="003A461C"/>
    <w:rsid w:val="003A4DC4"/>
    <w:rsid w:val="003A6E9A"/>
    <w:rsid w:val="003B4DF0"/>
    <w:rsid w:val="003B5E88"/>
    <w:rsid w:val="003B63AD"/>
    <w:rsid w:val="003C4ADD"/>
    <w:rsid w:val="003C6281"/>
    <w:rsid w:val="003D0256"/>
    <w:rsid w:val="003D076B"/>
    <w:rsid w:val="003F3814"/>
    <w:rsid w:val="00400DF0"/>
    <w:rsid w:val="004011FA"/>
    <w:rsid w:val="00402335"/>
    <w:rsid w:val="0040508B"/>
    <w:rsid w:val="00406B49"/>
    <w:rsid w:val="00406F35"/>
    <w:rsid w:val="00411B13"/>
    <w:rsid w:val="00412347"/>
    <w:rsid w:val="004146D7"/>
    <w:rsid w:val="00414C62"/>
    <w:rsid w:val="00417633"/>
    <w:rsid w:val="00417828"/>
    <w:rsid w:val="00423E31"/>
    <w:rsid w:val="004253F6"/>
    <w:rsid w:val="004278BC"/>
    <w:rsid w:val="004453E2"/>
    <w:rsid w:val="0045059B"/>
    <w:rsid w:val="00450714"/>
    <w:rsid w:val="00457935"/>
    <w:rsid w:val="00463A31"/>
    <w:rsid w:val="00480332"/>
    <w:rsid w:val="00493E82"/>
    <w:rsid w:val="004971C9"/>
    <w:rsid w:val="004B19D4"/>
    <w:rsid w:val="004C5105"/>
    <w:rsid w:val="004C5404"/>
    <w:rsid w:val="004E133C"/>
    <w:rsid w:val="004E372C"/>
    <w:rsid w:val="004E49B0"/>
    <w:rsid w:val="004E5460"/>
    <w:rsid w:val="004E56D9"/>
    <w:rsid w:val="004F4476"/>
    <w:rsid w:val="00500A16"/>
    <w:rsid w:val="00507DBF"/>
    <w:rsid w:val="00513BE2"/>
    <w:rsid w:val="005151AF"/>
    <w:rsid w:val="00522EAC"/>
    <w:rsid w:val="005333BB"/>
    <w:rsid w:val="00536867"/>
    <w:rsid w:val="005628E8"/>
    <w:rsid w:val="00571AB3"/>
    <w:rsid w:val="00580883"/>
    <w:rsid w:val="00583CD4"/>
    <w:rsid w:val="00585981"/>
    <w:rsid w:val="0058663E"/>
    <w:rsid w:val="00592F7E"/>
    <w:rsid w:val="005A01C8"/>
    <w:rsid w:val="005A20C2"/>
    <w:rsid w:val="005A30FD"/>
    <w:rsid w:val="005A457D"/>
    <w:rsid w:val="005A7106"/>
    <w:rsid w:val="005C341E"/>
    <w:rsid w:val="005D6715"/>
    <w:rsid w:val="005E0621"/>
    <w:rsid w:val="005E1ABD"/>
    <w:rsid w:val="005F060B"/>
    <w:rsid w:val="005F6EE8"/>
    <w:rsid w:val="006039B0"/>
    <w:rsid w:val="00603D04"/>
    <w:rsid w:val="006115E1"/>
    <w:rsid w:val="006123D7"/>
    <w:rsid w:val="00627AFA"/>
    <w:rsid w:val="00641514"/>
    <w:rsid w:val="00644AAA"/>
    <w:rsid w:val="006476C9"/>
    <w:rsid w:val="00662273"/>
    <w:rsid w:val="00663022"/>
    <w:rsid w:val="00682DB2"/>
    <w:rsid w:val="006A0AFC"/>
    <w:rsid w:val="006A1A8F"/>
    <w:rsid w:val="006B03DF"/>
    <w:rsid w:val="006B3B2E"/>
    <w:rsid w:val="006B715D"/>
    <w:rsid w:val="006D30F3"/>
    <w:rsid w:val="006E2D65"/>
    <w:rsid w:val="006E5065"/>
    <w:rsid w:val="006E6D95"/>
    <w:rsid w:val="006F0256"/>
    <w:rsid w:val="006F09CD"/>
    <w:rsid w:val="006F2506"/>
    <w:rsid w:val="00701A62"/>
    <w:rsid w:val="00705206"/>
    <w:rsid w:val="00707FB9"/>
    <w:rsid w:val="00711BF8"/>
    <w:rsid w:val="00730C22"/>
    <w:rsid w:val="00731445"/>
    <w:rsid w:val="007330DB"/>
    <w:rsid w:val="00736CAB"/>
    <w:rsid w:val="00740035"/>
    <w:rsid w:val="00741C32"/>
    <w:rsid w:val="007537E3"/>
    <w:rsid w:val="00755D9A"/>
    <w:rsid w:val="00760E4B"/>
    <w:rsid w:val="007644E6"/>
    <w:rsid w:val="007646E4"/>
    <w:rsid w:val="00767287"/>
    <w:rsid w:val="00770109"/>
    <w:rsid w:val="00772073"/>
    <w:rsid w:val="00774A93"/>
    <w:rsid w:val="0078212D"/>
    <w:rsid w:val="00784433"/>
    <w:rsid w:val="0078631C"/>
    <w:rsid w:val="00794A68"/>
    <w:rsid w:val="007A3AA4"/>
    <w:rsid w:val="007B2CAE"/>
    <w:rsid w:val="007B3766"/>
    <w:rsid w:val="007B5529"/>
    <w:rsid w:val="007C464A"/>
    <w:rsid w:val="007C5B71"/>
    <w:rsid w:val="007E015C"/>
    <w:rsid w:val="007E018A"/>
    <w:rsid w:val="007E13D3"/>
    <w:rsid w:val="007F5266"/>
    <w:rsid w:val="007F6C5E"/>
    <w:rsid w:val="008015E6"/>
    <w:rsid w:val="00827F20"/>
    <w:rsid w:val="00830AC6"/>
    <w:rsid w:val="00841EA4"/>
    <w:rsid w:val="00852A4F"/>
    <w:rsid w:val="00865956"/>
    <w:rsid w:val="00875D09"/>
    <w:rsid w:val="008843D3"/>
    <w:rsid w:val="008874A3"/>
    <w:rsid w:val="008940AA"/>
    <w:rsid w:val="008A52C4"/>
    <w:rsid w:val="008C2C0C"/>
    <w:rsid w:val="008C6EF4"/>
    <w:rsid w:val="008E11C8"/>
    <w:rsid w:val="008E12BC"/>
    <w:rsid w:val="008E4A2B"/>
    <w:rsid w:val="008E5215"/>
    <w:rsid w:val="009045D0"/>
    <w:rsid w:val="009054D0"/>
    <w:rsid w:val="009102E9"/>
    <w:rsid w:val="009107A4"/>
    <w:rsid w:val="00913558"/>
    <w:rsid w:val="009255AE"/>
    <w:rsid w:val="00942464"/>
    <w:rsid w:val="00944EF2"/>
    <w:rsid w:val="00954DE8"/>
    <w:rsid w:val="00954E76"/>
    <w:rsid w:val="009615E5"/>
    <w:rsid w:val="009724C9"/>
    <w:rsid w:val="00974108"/>
    <w:rsid w:val="009A579A"/>
    <w:rsid w:val="009B1EB0"/>
    <w:rsid w:val="009D3E05"/>
    <w:rsid w:val="00A0247A"/>
    <w:rsid w:val="00A05C31"/>
    <w:rsid w:val="00A1218C"/>
    <w:rsid w:val="00A145FD"/>
    <w:rsid w:val="00A23A7F"/>
    <w:rsid w:val="00A2487D"/>
    <w:rsid w:val="00A25F43"/>
    <w:rsid w:val="00A33D1B"/>
    <w:rsid w:val="00A40BC3"/>
    <w:rsid w:val="00A542B8"/>
    <w:rsid w:val="00A6093D"/>
    <w:rsid w:val="00A61E52"/>
    <w:rsid w:val="00A63C85"/>
    <w:rsid w:val="00A76CFF"/>
    <w:rsid w:val="00A94466"/>
    <w:rsid w:val="00AA1F73"/>
    <w:rsid w:val="00AA2069"/>
    <w:rsid w:val="00AA554B"/>
    <w:rsid w:val="00AA6F06"/>
    <w:rsid w:val="00AA7CDC"/>
    <w:rsid w:val="00AB18B6"/>
    <w:rsid w:val="00AB2BC8"/>
    <w:rsid w:val="00AB2F18"/>
    <w:rsid w:val="00AB55DE"/>
    <w:rsid w:val="00AC18B3"/>
    <w:rsid w:val="00AC1D4C"/>
    <w:rsid w:val="00AC4429"/>
    <w:rsid w:val="00AC51C8"/>
    <w:rsid w:val="00AD4395"/>
    <w:rsid w:val="00AD6D3F"/>
    <w:rsid w:val="00AD7C8F"/>
    <w:rsid w:val="00AE3F85"/>
    <w:rsid w:val="00AE5B62"/>
    <w:rsid w:val="00AE6A4A"/>
    <w:rsid w:val="00AF0019"/>
    <w:rsid w:val="00AF0613"/>
    <w:rsid w:val="00AF2304"/>
    <w:rsid w:val="00AF441B"/>
    <w:rsid w:val="00AF482A"/>
    <w:rsid w:val="00AF7621"/>
    <w:rsid w:val="00AF7F1F"/>
    <w:rsid w:val="00B06876"/>
    <w:rsid w:val="00B11924"/>
    <w:rsid w:val="00B12CB0"/>
    <w:rsid w:val="00B162CE"/>
    <w:rsid w:val="00B2293C"/>
    <w:rsid w:val="00B3255D"/>
    <w:rsid w:val="00B41643"/>
    <w:rsid w:val="00B419EB"/>
    <w:rsid w:val="00B423D8"/>
    <w:rsid w:val="00B512D8"/>
    <w:rsid w:val="00B55386"/>
    <w:rsid w:val="00B57646"/>
    <w:rsid w:val="00B64015"/>
    <w:rsid w:val="00B8018B"/>
    <w:rsid w:val="00B81708"/>
    <w:rsid w:val="00B8398E"/>
    <w:rsid w:val="00B87B45"/>
    <w:rsid w:val="00B93441"/>
    <w:rsid w:val="00B96126"/>
    <w:rsid w:val="00BA26D6"/>
    <w:rsid w:val="00BA623F"/>
    <w:rsid w:val="00BA7D00"/>
    <w:rsid w:val="00BB0C0D"/>
    <w:rsid w:val="00BB4C78"/>
    <w:rsid w:val="00BB51DD"/>
    <w:rsid w:val="00BB6AF6"/>
    <w:rsid w:val="00BC0EF3"/>
    <w:rsid w:val="00BC436D"/>
    <w:rsid w:val="00BC7D72"/>
    <w:rsid w:val="00BE1ACE"/>
    <w:rsid w:val="00BE5AB1"/>
    <w:rsid w:val="00BE76FF"/>
    <w:rsid w:val="00BE7ED2"/>
    <w:rsid w:val="00BF7027"/>
    <w:rsid w:val="00C02133"/>
    <w:rsid w:val="00C20643"/>
    <w:rsid w:val="00C246AF"/>
    <w:rsid w:val="00C26C47"/>
    <w:rsid w:val="00C35716"/>
    <w:rsid w:val="00C62C81"/>
    <w:rsid w:val="00C667F3"/>
    <w:rsid w:val="00C93C34"/>
    <w:rsid w:val="00C94221"/>
    <w:rsid w:val="00CA2085"/>
    <w:rsid w:val="00CB26D7"/>
    <w:rsid w:val="00CC4B59"/>
    <w:rsid w:val="00CD15AA"/>
    <w:rsid w:val="00CD26FD"/>
    <w:rsid w:val="00CD7AEB"/>
    <w:rsid w:val="00CE07BB"/>
    <w:rsid w:val="00CE2396"/>
    <w:rsid w:val="00CE3526"/>
    <w:rsid w:val="00CE43EA"/>
    <w:rsid w:val="00D011D5"/>
    <w:rsid w:val="00D036A2"/>
    <w:rsid w:val="00D1102C"/>
    <w:rsid w:val="00D270F3"/>
    <w:rsid w:val="00D37D78"/>
    <w:rsid w:val="00D40DFF"/>
    <w:rsid w:val="00D55924"/>
    <w:rsid w:val="00D61569"/>
    <w:rsid w:val="00D66AD7"/>
    <w:rsid w:val="00D81FC0"/>
    <w:rsid w:val="00D8234B"/>
    <w:rsid w:val="00D90952"/>
    <w:rsid w:val="00D9233E"/>
    <w:rsid w:val="00D974D5"/>
    <w:rsid w:val="00DA6ECB"/>
    <w:rsid w:val="00DB56E6"/>
    <w:rsid w:val="00DC13E6"/>
    <w:rsid w:val="00DC31F6"/>
    <w:rsid w:val="00DD0AC5"/>
    <w:rsid w:val="00DD1952"/>
    <w:rsid w:val="00DD1DA4"/>
    <w:rsid w:val="00DD4B72"/>
    <w:rsid w:val="00DE12D5"/>
    <w:rsid w:val="00DE381D"/>
    <w:rsid w:val="00DE73B1"/>
    <w:rsid w:val="00DF27E0"/>
    <w:rsid w:val="00DF3200"/>
    <w:rsid w:val="00E03B18"/>
    <w:rsid w:val="00E27615"/>
    <w:rsid w:val="00E320B5"/>
    <w:rsid w:val="00E419DB"/>
    <w:rsid w:val="00E4579F"/>
    <w:rsid w:val="00E46AAD"/>
    <w:rsid w:val="00E54E5A"/>
    <w:rsid w:val="00E56C13"/>
    <w:rsid w:val="00E66DC1"/>
    <w:rsid w:val="00E70287"/>
    <w:rsid w:val="00E74AC4"/>
    <w:rsid w:val="00E7532A"/>
    <w:rsid w:val="00E755F4"/>
    <w:rsid w:val="00E80AB2"/>
    <w:rsid w:val="00E80CFD"/>
    <w:rsid w:val="00E966AA"/>
    <w:rsid w:val="00EA1DDE"/>
    <w:rsid w:val="00EA556C"/>
    <w:rsid w:val="00EB1B65"/>
    <w:rsid w:val="00EB7210"/>
    <w:rsid w:val="00EC544A"/>
    <w:rsid w:val="00ED2E8C"/>
    <w:rsid w:val="00EE5068"/>
    <w:rsid w:val="00EF01B5"/>
    <w:rsid w:val="00EF40F4"/>
    <w:rsid w:val="00EF4ECE"/>
    <w:rsid w:val="00EF540A"/>
    <w:rsid w:val="00F04923"/>
    <w:rsid w:val="00F052B6"/>
    <w:rsid w:val="00F0751A"/>
    <w:rsid w:val="00F1669E"/>
    <w:rsid w:val="00F3314D"/>
    <w:rsid w:val="00F3336E"/>
    <w:rsid w:val="00F42B91"/>
    <w:rsid w:val="00F43867"/>
    <w:rsid w:val="00F44A9B"/>
    <w:rsid w:val="00F45636"/>
    <w:rsid w:val="00F47DBF"/>
    <w:rsid w:val="00F56DDC"/>
    <w:rsid w:val="00F607A9"/>
    <w:rsid w:val="00F67F27"/>
    <w:rsid w:val="00F76A0E"/>
    <w:rsid w:val="00F82494"/>
    <w:rsid w:val="00F95E22"/>
    <w:rsid w:val="00FA5E6A"/>
    <w:rsid w:val="00FB1603"/>
    <w:rsid w:val="00FB585C"/>
    <w:rsid w:val="00FC18FB"/>
    <w:rsid w:val="00FC406C"/>
    <w:rsid w:val="00FD50B3"/>
    <w:rsid w:val="00FE1B17"/>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D13731B"/>
  <w15:chartTrackingRefBased/>
  <w15:docId w15:val="{6099E321-2361-4A95-A5A4-89E2A1D3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76"/>
    <w:pPr>
      <w:spacing w:after="0" w:line="240" w:lineRule="auto"/>
    </w:pPr>
    <w:rPr>
      <w:rFonts w:eastAsia="Times New Roman" w:cs="Times New Roman"/>
    </w:rPr>
  </w:style>
  <w:style w:type="paragraph" w:styleId="Heading1">
    <w:name w:val="heading 1"/>
    <w:basedOn w:val="Normal"/>
    <w:next w:val="Normal"/>
    <w:link w:val="Heading1Char"/>
    <w:uiPriority w:val="9"/>
    <w:qFormat/>
    <w:rsid w:val="00E80AB2"/>
    <w:pPr>
      <w:keepNext/>
      <w:keepLines/>
      <w:spacing w:before="240" w:after="160" w:line="259"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semiHidden/>
    <w:unhideWhenUsed/>
    <w:qFormat/>
    <w:rsid w:val="00E80AB2"/>
    <w:pPr>
      <w:keepNext/>
      <w:keepLines/>
      <w:spacing w:before="40" w:after="160" w:line="259" w:lineRule="auto"/>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E80AB2"/>
    <w:pPr>
      <w:keepNext/>
      <w:keepLines/>
      <w:spacing w:before="40" w:after="160" w:line="259" w:lineRule="auto"/>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1"/>
    <w:semiHidden/>
    <w:unhideWhenUsed/>
    <w:qFormat/>
    <w:rsid w:val="00E80AB2"/>
    <w:pPr>
      <w:keepNext/>
      <w:keepLines/>
      <w:spacing w:before="40" w:line="259" w:lineRule="auto"/>
      <w:outlineLvl w:val="3"/>
    </w:pPr>
    <w:rPr>
      <w:rFonts w:asciiTheme="majorHAnsi" w:eastAsiaTheme="majorEastAsia" w:hAnsiTheme="majorHAnsi" w:cstheme="majorBidi"/>
      <w:i/>
      <w:iCs/>
      <w:color w:val="374C80" w:themeColor="accent1" w:themeShade="BF"/>
    </w:rPr>
  </w:style>
  <w:style w:type="paragraph" w:styleId="Heading8">
    <w:name w:val="heading 8"/>
    <w:basedOn w:val="Normal"/>
    <w:next w:val="Normal"/>
    <w:link w:val="Heading8Char"/>
    <w:uiPriority w:val="1"/>
    <w:semiHidden/>
    <w:unhideWhenUsed/>
    <w:qFormat/>
    <w:rsid w:val="00E80AB2"/>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link w:val="IndentChar"/>
    <w:qFormat/>
    <w:rsid w:val="00E80AB2"/>
    <w:pPr>
      <w:shd w:val="clear" w:color="auto" w:fill="D9DFEF" w:themeFill="accent1" w:themeFillTint="33"/>
      <w:spacing w:after="240" w:line="259" w:lineRule="auto"/>
      <w:ind w:left="720"/>
    </w:pPr>
    <w:rPr>
      <w:rFonts w:eastAsiaTheme="minorHAnsi" w:cstheme="minorBidi"/>
    </w:rPr>
  </w:style>
  <w:style w:type="character" w:customStyle="1" w:styleId="IndentChar">
    <w:name w:val="Indent Char"/>
    <w:basedOn w:val="DefaultParagraphFont"/>
    <w:link w:val="Indent"/>
    <w:rsid w:val="00E80AB2"/>
    <w:rPr>
      <w:rFonts w:cstheme="minorBidi"/>
      <w:shd w:val="clear" w:color="auto" w:fill="D9DFEF" w:themeFill="accent1" w:themeFillTint="33"/>
    </w:rPr>
  </w:style>
  <w:style w:type="paragraph" w:customStyle="1" w:styleId="BulletedList">
    <w:name w:val="Bulleted List"/>
    <w:basedOn w:val="Normal"/>
    <w:link w:val="BulletedListChar"/>
    <w:qFormat/>
    <w:rsid w:val="00E80AB2"/>
    <w:pPr>
      <w:spacing w:before="120" w:after="120" w:line="259" w:lineRule="auto"/>
      <w:ind w:left="1440" w:hanging="360"/>
    </w:pPr>
    <w:rPr>
      <w:rFonts w:eastAsia="Calibri" w:cs="Arial"/>
    </w:rPr>
  </w:style>
  <w:style w:type="character" w:customStyle="1" w:styleId="BulletedListChar">
    <w:name w:val="Bulleted List Char"/>
    <w:basedOn w:val="DefaultParagraphFont"/>
    <w:link w:val="BulletedList"/>
    <w:rsid w:val="00E80AB2"/>
    <w:rPr>
      <w:rFonts w:eastAsia="Calibri"/>
    </w:rPr>
  </w:style>
  <w:style w:type="paragraph" w:customStyle="1" w:styleId="subtaskheader">
    <w:name w:val="subtask header"/>
    <w:basedOn w:val="Heading2"/>
    <w:link w:val="subtaskheaderChar"/>
    <w:qFormat/>
    <w:rsid w:val="00E80AB2"/>
    <w:pPr>
      <w:keepLines w:val="0"/>
      <w:tabs>
        <w:tab w:val="left" w:pos="1440"/>
      </w:tabs>
      <w:suppressAutoHyphens/>
      <w:autoSpaceDN w:val="0"/>
      <w:spacing w:before="0" w:after="240"/>
      <w:ind w:left="720" w:hanging="720"/>
      <w:textAlignment w:val="baseline"/>
    </w:pPr>
    <w:rPr>
      <w:rFonts w:ascii="Arial" w:eastAsia="Arial Unicode MS" w:hAnsi="Arial" w:cs="Arial"/>
      <w:b/>
      <w:bCs/>
      <w:color w:val="000000"/>
      <w:kern w:val="3"/>
      <w:sz w:val="22"/>
    </w:rPr>
  </w:style>
  <w:style w:type="character" w:customStyle="1" w:styleId="subtaskheaderChar">
    <w:name w:val="subtask header Char"/>
    <w:basedOn w:val="DefaultParagraphFont"/>
    <w:link w:val="subtaskheader"/>
    <w:rsid w:val="00E80AB2"/>
    <w:rPr>
      <w:rFonts w:eastAsia="Arial Unicode MS"/>
      <w:b/>
      <w:bCs/>
      <w:color w:val="000000"/>
      <w:kern w:val="3"/>
      <w:szCs w:val="26"/>
    </w:rPr>
  </w:style>
  <w:style w:type="character" w:customStyle="1" w:styleId="Heading2Char">
    <w:name w:val="Heading 2 Char"/>
    <w:basedOn w:val="DefaultParagraphFont"/>
    <w:link w:val="Heading2"/>
    <w:uiPriority w:val="9"/>
    <w:semiHidden/>
    <w:rsid w:val="00E80AB2"/>
    <w:rPr>
      <w:rFonts w:asciiTheme="majorHAnsi" w:eastAsiaTheme="majorEastAsia" w:hAnsiTheme="majorHAnsi" w:cstheme="majorBidi"/>
      <w:color w:val="374C80" w:themeColor="accent1" w:themeShade="BF"/>
      <w:sz w:val="26"/>
      <w:szCs w:val="26"/>
    </w:rPr>
  </w:style>
  <w:style w:type="paragraph" w:customStyle="1" w:styleId="NormalIndent1">
    <w:name w:val="Normal Indent1"/>
    <w:basedOn w:val="Normal"/>
    <w:link w:val="NormalindentChar"/>
    <w:qFormat/>
    <w:rsid w:val="00E80AB2"/>
    <w:pPr>
      <w:shd w:val="clear" w:color="auto" w:fill="D9D9D9" w:themeFill="background1" w:themeFillShade="D9"/>
      <w:spacing w:after="240" w:line="259" w:lineRule="auto"/>
      <w:ind w:left="720"/>
    </w:pPr>
    <w:rPr>
      <w:rFonts w:eastAsiaTheme="minorHAnsi" w:cstheme="minorBidi"/>
    </w:rPr>
  </w:style>
  <w:style w:type="character" w:customStyle="1" w:styleId="NormalindentChar">
    <w:name w:val="Normal indent Char"/>
    <w:basedOn w:val="DefaultParagraphFont"/>
    <w:link w:val="NormalIndent1"/>
    <w:rsid w:val="00E80AB2"/>
    <w:rPr>
      <w:rFonts w:cstheme="minorBidi"/>
      <w:shd w:val="clear" w:color="auto" w:fill="D9D9D9" w:themeFill="background1" w:themeFillShade="D9"/>
    </w:rPr>
  </w:style>
  <w:style w:type="character" w:customStyle="1" w:styleId="Heading1Char">
    <w:name w:val="Heading 1 Char"/>
    <w:basedOn w:val="DefaultParagraphFont"/>
    <w:link w:val="Heading1"/>
    <w:uiPriority w:val="9"/>
    <w:rsid w:val="00E80AB2"/>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rsid w:val="00E80AB2"/>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1"/>
    <w:semiHidden/>
    <w:rsid w:val="00E80AB2"/>
    <w:rPr>
      <w:rFonts w:asciiTheme="majorHAnsi" w:eastAsiaTheme="majorEastAsia" w:hAnsiTheme="majorHAnsi" w:cstheme="majorBidi"/>
      <w:i/>
      <w:iCs/>
      <w:color w:val="374C80" w:themeColor="accent1" w:themeShade="BF"/>
    </w:rPr>
  </w:style>
  <w:style w:type="character" w:customStyle="1" w:styleId="Heading8Char">
    <w:name w:val="Heading 8 Char"/>
    <w:basedOn w:val="DefaultParagraphFont"/>
    <w:link w:val="Heading8"/>
    <w:uiPriority w:val="1"/>
    <w:semiHidden/>
    <w:rsid w:val="00E80AB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qFormat/>
    <w:rsid w:val="00E80AB2"/>
    <w:pPr>
      <w:spacing w:before="11" w:after="160" w:line="259" w:lineRule="auto"/>
    </w:pPr>
    <w:rPr>
      <w:rFonts w:eastAsia="Arial" w:cs="Arial"/>
    </w:rPr>
  </w:style>
  <w:style w:type="character" w:customStyle="1" w:styleId="BodyTextChar">
    <w:name w:val="Body Text Char"/>
    <w:basedOn w:val="DefaultParagraphFont"/>
    <w:link w:val="BodyText"/>
    <w:uiPriority w:val="1"/>
    <w:rsid w:val="00E80AB2"/>
    <w:rPr>
      <w:rFonts w:eastAsia="Arial"/>
    </w:rPr>
  </w:style>
  <w:style w:type="paragraph" w:styleId="NoSpacing">
    <w:name w:val="No Spacing"/>
    <w:link w:val="NoSpacingChar"/>
    <w:uiPriority w:val="1"/>
    <w:qFormat/>
    <w:rsid w:val="00E80AB2"/>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E80AB2"/>
    <w:rPr>
      <w:rFonts w:asciiTheme="minorHAnsi" w:eastAsiaTheme="minorEastAsia" w:hAnsiTheme="minorHAnsi" w:cstheme="minorBidi"/>
    </w:rPr>
  </w:style>
  <w:style w:type="paragraph" w:styleId="ListParagraph">
    <w:name w:val="List Paragraph"/>
    <w:basedOn w:val="Normal"/>
    <w:uiPriority w:val="34"/>
    <w:qFormat/>
    <w:rsid w:val="00E80AB2"/>
    <w:pPr>
      <w:numPr>
        <w:numId w:val="2"/>
      </w:numPr>
      <w:spacing w:before="120" w:after="120" w:line="259" w:lineRule="auto"/>
    </w:pPr>
    <w:rPr>
      <w:rFonts w:eastAsiaTheme="minorHAnsi" w:cstheme="minorBidi"/>
    </w:rPr>
  </w:style>
  <w:style w:type="paragraph" w:styleId="TOCHeading">
    <w:name w:val="TOC Heading"/>
    <w:basedOn w:val="Heading1"/>
    <w:next w:val="Normal"/>
    <w:uiPriority w:val="39"/>
    <w:unhideWhenUsed/>
    <w:qFormat/>
    <w:rsid w:val="00E80AB2"/>
    <w:pPr>
      <w:tabs>
        <w:tab w:val="left" w:pos="1620"/>
      </w:tabs>
      <w:jc w:val="center"/>
      <w:outlineLvl w:val="9"/>
    </w:pPr>
  </w:style>
  <w:style w:type="paragraph" w:styleId="Header">
    <w:name w:val="header"/>
    <w:basedOn w:val="Normal"/>
    <w:link w:val="HeaderChar"/>
    <w:rsid w:val="005A01C8"/>
    <w:pPr>
      <w:tabs>
        <w:tab w:val="center" w:pos="4320"/>
        <w:tab w:val="right" w:pos="8640"/>
      </w:tabs>
    </w:pPr>
  </w:style>
  <w:style w:type="character" w:customStyle="1" w:styleId="HeaderChar">
    <w:name w:val="Header Char"/>
    <w:basedOn w:val="DefaultParagraphFont"/>
    <w:link w:val="Header"/>
    <w:rsid w:val="005A01C8"/>
    <w:rPr>
      <w:rFonts w:eastAsia="Times New Roman" w:cs="Times New Roman"/>
    </w:rPr>
  </w:style>
  <w:style w:type="paragraph" w:styleId="Footer">
    <w:name w:val="footer"/>
    <w:basedOn w:val="Normal"/>
    <w:link w:val="FooterChar"/>
    <w:uiPriority w:val="99"/>
    <w:rsid w:val="005A01C8"/>
    <w:pPr>
      <w:tabs>
        <w:tab w:val="center" w:pos="4320"/>
        <w:tab w:val="right" w:pos="8640"/>
      </w:tabs>
    </w:pPr>
  </w:style>
  <w:style w:type="character" w:customStyle="1" w:styleId="FooterChar">
    <w:name w:val="Footer Char"/>
    <w:basedOn w:val="DefaultParagraphFont"/>
    <w:link w:val="Footer"/>
    <w:uiPriority w:val="99"/>
    <w:rsid w:val="005A01C8"/>
    <w:rPr>
      <w:rFonts w:eastAsia="Times New Roman" w:cs="Times New Roman"/>
    </w:rPr>
  </w:style>
  <w:style w:type="character" w:styleId="Hyperlink">
    <w:name w:val="Hyperlink"/>
    <w:basedOn w:val="DefaultParagraphFont"/>
    <w:rsid w:val="005A01C8"/>
    <w:rPr>
      <w:color w:val="0000FF"/>
      <w:u w:val="single"/>
    </w:rPr>
  </w:style>
  <w:style w:type="paragraph" w:styleId="BalloonText">
    <w:name w:val="Balloon Text"/>
    <w:basedOn w:val="Normal"/>
    <w:link w:val="BalloonTextChar"/>
    <w:uiPriority w:val="99"/>
    <w:semiHidden/>
    <w:unhideWhenUsed/>
    <w:rsid w:val="002860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A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509E6"/>
    <w:rPr>
      <w:color w:val="3EBBF0" w:themeColor="followedHyperlink"/>
      <w:u w:val="single"/>
    </w:rPr>
  </w:style>
  <w:style w:type="table" w:styleId="TableGrid">
    <w:name w:val="Table Grid"/>
    <w:basedOn w:val="TableNormal"/>
    <w:uiPriority w:val="39"/>
    <w:rsid w:val="007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6914">
      <w:bodyDiv w:val="1"/>
      <w:marLeft w:val="0"/>
      <w:marRight w:val="0"/>
      <w:marTop w:val="0"/>
      <w:marBottom w:val="0"/>
      <w:divBdr>
        <w:top w:val="none" w:sz="0" w:space="0" w:color="auto"/>
        <w:left w:val="none" w:sz="0" w:space="0" w:color="auto"/>
        <w:bottom w:val="none" w:sz="0" w:space="0" w:color="auto"/>
        <w:right w:val="none" w:sz="0" w:space="0" w:color="auto"/>
      </w:divBdr>
    </w:div>
    <w:div w:id="515997000">
      <w:bodyDiv w:val="1"/>
      <w:marLeft w:val="0"/>
      <w:marRight w:val="0"/>
      <w:marTop w:val="0"/>
      <w:marBottom w:val="0"/>
      <w:divBdr>
        <w:top w:val="none" w:sz="0" w:space="0" w:color="auto"/>
        <w:left w:val="none" w:sz="0" w:space="0" w:color="auto"/>
        <w:bottom w:val="none" w:sz="0" w:space="0" w:color="auto"/>
        <w:right w:val="none" w:sz="0" w:space="0" w:color="auto"/>
      </w:divBdr>
    </w:div>
    <w:div w:id="7678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tcog.org/trans/study/unified-planning-work-progra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Pruitt-Jenkins@nctcog.org" TargetMode="External"/><Relationship Id="rId4" Type="http://schemas.openxmlformats.org/officeDocument/2006/relationships/settings" Target="settings.xml"/><Relationship Id="rId9" Type="http://schemas.openxmlformats.org/officeDocument/2006/relationships/hyperlink" Target="mailto:valexander@nctcog.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42852"/>
      </a:dk2>
      <a:lt2>
        <a:srgbClr val="DCE9FE"/>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A469-DD39-4D20-9E6D-35B0C55734D2}">
  <ds:schemaRefs>
    <ds:schemaRef ds:uri="http://schemas.openxmlformats.org/officeDocument/2006/bibliography"/>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 Central Texas Council of Governments</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Bassler</dc:creator>
  <cp:keywords/>
  <dc:description/>
  <cp:lastModifiedBy>Vercie Pruitt-Jenkins</cp:lastModifiedBy>
  <cp:revision>2</cp:revision>
  <cp:lastPrinted>2025-02-11T16:38:00Z</cp:lastPrinted>
  <dcterms:created xsi:type="dcterms:W3CDTF">2025-02-11T17:46:00Z</dcterms:created>
  <dcterms:modified xsi:type="dcterms:W3CDTF">2025-02-11T17:46:00Z</dcterms:modified>
</cp:coreProperties>
</file>